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DB0A1" w14:textId="77777777" w:rsidR="007D52A4" w:rsidRPr="00362D62" w:rsidRDefault="007D52A4" w:rsidP="000C6324">
      <w:pPr>
        <w:pStyle w:val="PolicyTitleBox"/>
      </w:pPr>
      <w:r w:rsidRPr="00362D62">
        <w:t>OSBA Model Sample Policy</w:t>
      </w:r>
    </w:p>
    <w:p w14:paraId="0EA28D7E" w14:textId="77777777" w:rsidR="00CC7D46" w:rsidRPr="00362D62" w:rsidRDefault="00CC7D46" w:rsidP="000C6324"/>
    <w:p w14:paraId="0D1ADA17" w14:textId="77777777" w:rsidR="001E1260" w:rsidRPr="00362D62" w:rsidRDefault="001E1260" w:rsidP="000C6324">
      <w:pPr>
        <w:pStyle w:val="PolicyCode"/>
      </w:pPr>
      <w:r w:rsidRPr="00362D62">
        <w:t>Code:</w:t>
      </w:r>
      <w:r w:rsidRPr="00362D62">
        <w:tab/>
      </w:r>
      <w:r w:rsidR="00FE2AD0" w:rsidRPr="00362D62">
        <w:rPr>
          <w:b/>
        </w:rPr>
        <w:t>JFCF</w:t>
      </w:r>
    </w:p>
    <w:p w14:paraId="5A2D6A7D" w14:textId="77777777" w:rsidR="001E1260" w:rsidRPr="00362D62" w:rsidRDefault="001E1260" w:rsidP="000C6324">
      <w:pPr>
        <w:pStyle w:val="PolicyCode"/>
      </w:pPr>
      <w:r w:rsidRPr="00362D62">
        <w:t>Adopted:</w:t>
      </w:r>
      <w:r w:rsidRPr="00362D62">
        <w:tab/>
      </w:r>
    </w:p>
    <w:p w14:paraId="1B5B17DA" w14:textId="77777777" w:rsidR="001E1260" w:rsidRPr="00362D62" w:rsidRDefault="001E1260" w:rsidP="000C6324"/>
    <w:p w14:paraId="26F88E2D" w14:textId="77777777" w:rsidR="00E2780A" w:rsidRPr="00362D62" w:rsidRDefault="00FE2AD0" w:rsidP="000C6324">
      <w:pPr>
        <w:pStyle w:val="PolicyTitle"/>
      </w:pPr>
      <w:r w:rsidRPr="00362D62">
        <w:t>Harassment</w:t>
      </w:r>
      <w:r w:rsidR="001F2E98" w:rsidRPr="00362D62">
        <w:t xml:space="preserve">, </w:t>
      </w:r>
      <w:r w:rsidRPr="00362D62">
        <w:t>Intimidation</w:t>
      </w:r>
      <w:r w:rsidR="001F2E98" w:rsidRPr="00362D62">
        <w:t xml:space="preserve">, </w:t>
      </w:r>
      <w:r w:rsidRPr="00362D62">
        <w:t>Bullying</w:t>
      </w:r>
      <w:r w:rsidR="001F2E98" w:rsidRPr="00362D62">
        <w:t xml:space="preserve">, </w:t>
      </w:r>
      <w:r w:rsidRPr="00362D62">
        <w:t>Cyberbullying</w:t>
      </w:r>
      <w:r w:rsidR="001F2E98" w:rsidRPr="00362D62">
        <w:t xml:space="preserve">, </w:t>
      </w:r>
      <w:r w:rsidRPr="00362D62">
        <w:t xml:space="preserve">Teen Dating </w:t>
      </w:r>
    </w:p>
    <w:p w14:paraId="1B775D40" w14:textId="5B5C422E" w:rsidR="00EF573E" w:rsidRPr="00362D62" w:rsidRDefault="00FE2AD0" w:rsidP="000C6324">
      <w:pPr>
        <w:pStyle w:val="PolicyTitle"/>
      </w:pPr>
      <w:r w:rsidRPr="00362D62">
        <w:t>Violence</w:t>
      </w:r>
      <w:r w:rsidR="001353F1" w:rsidRPr="00362D62">
        <w:t>,</w:t>
      </w:r>
      <w:r w:rsidR="001F2E98" w:rsidRPr="00362D62">
        <w:t xml:space="preserve"> and </w:t>
      </w:r>
      <w:r w:rsidRPr="00362D62">
        <w:t>Domestic Violence – Student**</w:t>
      </w:r>
    </w:p>
    <w:p w14:paraId="4D413179" w14:textId="77777777" w:rsidR="00EF573E" w:rsidRPr="00362D62" w:rsidRDefault="00FE2AD0" w:rsidP="000C6324">
      <w:pPr>
        <w:pStyle w:val="PolicyVERSION"/>
      </w:pPr>
      <w:r w:rsidRPr="00362D62">
        <w:t>(Version 1)</w:t>
      </w:r>
    </w:p>
    <w:p w14:paraId="5913C4E6" w14:textId="069E221B" w:rsidR="00EF573E" w:rsidRPr="00362D62" w:rsidRDefault="00EF573E" w:rsidP="000C6324"/>
    <w:p w14:paraId="66759281" w14:textId="3DE7C080" w:rsidR="00FE2AD0" w:rsidRPr="00362D62" w:rsidRDefault="00FE2AD0" w:rsidP="000C6324">
      <w:pPr>
        <w:pStyle w:val="PolicyBodyText"/>
      </w:pPr>
      <w:r w:rsidRPr="00362D62">
        <w:t xml:space="preserve">The Board, in its commitment to providing a </w:t>
      </w:r>
      <w:r w:rsidR="008C67F5" w:rsidRPr="00362D62">
        <w:t xml:space="preserve">safe, </w:t>
      </w:r>
      <w:r w:rsidRPr="00362D62">
        <w:t>positive</w:t>
      </w:r>
      <w:r w:rsidR="00227B0C" w:rsidRPr="00362D62">
        <w:t>,</w:t>
      </w:r>
      <w:r w:rsidRPr="00362D62">
        <w:t xml:space="preserve"> and productive learning environment</w:t>
      </w:r>
      <w:r w:rsidR="001D510B" w:rsidRPr="00362D62">
        <w:t xml:space="preserve"> for all students</w:t>
      </w:r>
      <w:r w:rsidRPr="00362D62">
        <w:t>, will consult with parents/guardians, employees, volunteers, students, administrators</w:t>
      </w:r>
      <w:r w:rsidR="00D210B2" w:rsidRPr="00362D62">
        <w:t>,</w:t>
      </w:r>
      <w:r w:rsidRPr="00362D62">
        <w:t xml:space="preserve"> and community representatives in developing this policy in compliance with applicable Oregon </w:t>
      </w:r>
      <w:r w:rsidR="001353F1" w:rsidRPr="00362D62">
        <w:t>law</w:t>
      </w:r>
      <w:r w:rsidRPr="00362D62">
        <w:t>.</w:t>
      </w:r>
    </w:p>
    <w:p w14:paraId="47824EBB" w14:textId="77777777" w:rsidR="00FE2AD0" w:rsidRPr="00362D62" w:rsidRDefault="00FE2AD0" w:rsidP="000C6324">
      <w:pPr>
        <w:pStyle w:val="PolicyBodyText"/>
      </w:pPr>
    </w:p>
    <w:p w14:paraId="78016CAF" w14:textId="7ED0CB08" w:rsidR="00D03BD2" w:rsidRPr="00362D62" w:rsidRDefault="00FE2AD0" w:rsidP="000C6324">
      <w:pPr>
        <w:pStyle w:val="PolicyBodyText"/>
      </w:pPr>
      <w:r w:rsidRPr="00362D62">
        <w:t>Harassment, intimidation</w:t>
      </w:r>
      <w:r w:rsidR="00D210B2" w:rsidRPr="00362D62">
        <w:t>,</w:t>
      </w:r>
      <w:r w:rsidRPr="00362D62">
        <w:t xml:space="preserve"> or bullying and acts of cyberbullying by students, staff</w:t>
      </w:r>
      <w:r w:rsidR="00D210B2" w:rsidRPr="00362D62">
        <w:t>,</w:t>
      </w:r>
      <w:r w:rsidRPr="00362D62">
        <w:t xml:space="preserve"> </w:t>
      </w:r>
      <w:r w:rsidR="00091976" w:rsidRPr="00362D62">
        <w:t xml:space="preserve">or </w:t>
      </w:r>
      <w:r w:rsidRPr="00362D62">
        <w:t xml:space="preserve">third parties toward students is strictly prohibited. Teen dating violence is unacceptable behavior and prohibited. </w:t>
      </w:r>
    </w:p>
    <w:p w14:paraId="65D31C3F" w14:textId="77777777" w:rsidR="00AC39CC" w:rsidRPr="00362D62" w:rsidRDefault="00AC39CC" w:rsidP="000C6324">
      <w:pPr>
        <w:pStyle w:val="PolicyBodyText"/>
      </w:pPr>
    </w:p>
    <w:p w14:paraId="6D133D0A" w14:textId="173B2458" w:rsidR="00FE2AD0" w:rsidRPr="00362D62" w:rsidRDefault="00FE2AD0" w:rsidP="000C6324">
      <w:pPr>
        <w:pStyle w:val="PolicyBodyText"/>
      </w:pPr>
      <w:r w:rsidRPr="00362D62">
        <w:t>Retaliation against any person who</w:t>
      </w:r>
      <w:r w:rsidR="00375432" w:rsidRPr="00362D62">
        <w:t xml:space="preserve"> is a victim of, who</w:t>
      </w:r>
      <w:r w:rsidRPr="00362D62">
        <w:t xml:space="preserve"> reports, is thought to have reported, </w:t>
      </w:r>
      <w:r w:rsidR="00DB0595" w:rsidRPr="00362D62">
        <w:t xml:space="preserve">or </w:t>
      </w:r>
      <w:r w:rsidRPr="00362D62">
        <w:t>files a complaint</w:t>
      </w:r>
      <w:r w:rsidR="00CC6DD2" w:rsidRPr="00362D62">
        <w:t xml:space="preserve"> about an act of harassment, intimidation or bullying, an act of cyberbullying</w:t>
      </w:r>
      <w:r w:rsidR="00480493" w:rsidRPr="00362D62">
        <w:t>, or teen dating violence</w:t>
      </w:r>
      <w:r w:rsidR="00956B2E" w:rsidRPr="00362D62">
        <w:t>,</w:t>
      </w:r>
      <w:r w:rsidRPr="00362D62">
        <w:t xml:space="preserve"> or otherwise participates in an investigation or inquiry is strictly prohibited. </w:t>
      </w:r>
      <w:r w:rsidR="00A92FD8" w:rsidRPr="00362D62">
        <w:t xml:space="preserve">A person who engages in </w:t>
      </w:r>
      <w:r w:rsidR="007A5AA9" w:rsidRPr="00362D62">
        <w:t xml:space="preserve">retaliatory </w:t>
      </w:r>
      <w:r w:rsidR="00A92FD8" w:rsidRPr="00362D62">
        <w:t xml:space="preserve">behavior will be subject to consequences and appropriate remedial action. </w:t>
      </w:r>
      <w:r w:rsidRPr="00362D62">
        <w:t xml:space="preserve">False charges shall also be regarded as a serious offense and will result in </w:t>
      </w:r>
      <w:r w:rsidR="005D67B4" w:rsidRPr="00362D62">
        <w:t xml:space="preserve">consequences and </w:t>
      </w:r>
      <w:r w:rsidRPr="00362D62">
        <w:t xml:space="preserve">appropriate </w:t>
      </w:r>
      <w:r w:rsidR="005D67B4" w:rsidRPr="00362D62">
        <w:t xml:space="preserve"> </w:t>
      </w:r>
      <w:r w:rsidR="002E4E9F" w:rsidRPr="00362D62">
        <w:t xml:space="preserve">remedial </w:t>
      </w:r>
      <w:r w:rsidR="005D67B4" w:rsidRPr="00362D62">
        <w:t>action</w:t>
      </w:r>
      <w:r w:rsidRPr="00362D62">
        <w:t>.</w:t>
      </w:r>
    </w:p>
    <w:p w14:paraId="1619920F" w14:textId="77777777" w:rsidR="00FE2AD0" w:rsidRPr="00362D62" w:rsidRDefault="00FE2AD0" w:rsidP="000C6324">
      <w:pPr>
        <w:pStyle w:val="PolicyBodyText"/>
      </w:pPr>
    </w:p>
    <w:p w14:paraId="3A2F980C" w14:textId="4F7BA782" w:rsidR="00162A04" w:rsidRPr="00362D62" w:rsidRDefault="00FE2AD0" w:rsidP="000C6324">
      <w:pPr>
        <w:pStyle w:val="PolicyBodyText"/>
      </w:pPr>
      <w:r w:rsidRPr="00362D62">
        <w:t xml:space="preserve">Students whose behavior is found to be in violation of this policy will be subject to </w:t>
      </w:r>
      <w:r w:rsidR="005D67B4" w:rsidRPr="00362D62">
        <w:t xml:space="preserve">consequences and appropriate remedial action which may include </w:t>
      </w:r>
      <w:r w:rsidRPr="00362D62">
        <w:t xml:space="preserve">discipline, up to and including expulsion. </w:t>
      </w:r>
    </w:p>
    <w:p w14:paraId="3076C5EB" w14:textId="5793861C" w:rsidR="005745D2" w:rsidRPr="00362D62" w:rsidRDefault="005745D2" w:rsidP="000C6324">
      <w:pPr>
        <w:pStyle w:val="PolicyBodyText"/>
      </w:pPr>
    </w:p>
    <w:p w14:paraId="518CD3C9" w14:textId="395E12C4" w:rsidR="005745D2" w:rsidRPr="00362D62" w:rsidRDefault="00434510" w:rsidP="000C6324">
      <w:pPr>
        <w:pStyle w:val="PolicyBodyText"/>
      </w:pPr>
      <w:r w:rsidRPr="00362D62">
        <w:t>Staff whose behavior is found to be in violation of this policy will be subject to consequences and appropriate remedial action which may include discipline, up to and including dismissal. Third parties whose behavior is found to be in violation of this policy shall be subject to appropriate sanctions as determined and imposed by the superintendent or the Board.</w:t>
      </w:r>
    </w:p>
    <w:p w14:paraId="584D68EE" w14:textId="77777777" w:rsidR="00162A04" w:rsidRPr="00362D62" w:rsidRDefault="00162A04" w:rsidP="000C6324">
      <w:pPr>
        <w:pStyle w:val="PolicyBodyText"/>
      </w:pPr>
    </w:p>
    <w:p w14:paraId="53AF3C01" w14:textId="7BAB5AEF" w:rsidR="00FE2AD0" w:rsidRPr="00362D62" w:rsidRDefault="00FE2AD0" w:rsidP="000C6324">
      <w:pPr>
        <w:pStyle w:val="PolicyBodyText"/>
      </w:pPr>
      <w:r w:rsidRPr="00362D62">
        <w:t>Students</w:t>
      </w:r>
      <w:r w:rsidR="00550B4D" w:rsidRPr="00362D62">
        <w:t>, staff, or third parties</w:t>
      </w:r>
      <w:r w:rsidRPr="00362D62">
        <w:t xml:space="preserve"> may also be referred to law enforcement officials.</w:t>
      </w:r>
    </w:p>
    <w:p w14:paraId="049DE42F" w14:textId="732435B1" w:rsidR="00FE2AD0" w:rsidRPr="00362D62" w:rsidRDefault="00FE2AD0" w:rsidP="000C6324">
      <w:pPr>
        <w:pStyle w:val="PolicyBodyText"/>
      </w:pPr>
    </w:p>
    <w:p w14:paraId="38478F2E" w14:textId="52EDFBCA" w:rsidR="00FE2AD0" w:rsidRPr="00362D62" w:rsidRDefault="00FE2AD0" w:rsidP="000C6324">
      <w:pPr>
        <w:pStyle w:val="PolicyBodyText"/>
      </w:pPr>
      <w:r w:rsidRPr="00362D62">
        <w:t>The [principal and the</w:t>
      </w:r>
      <w:r w:rsidR="007A5AA9" w:rsidRPr="00362D62">
        <w:t>]</w:t>
      </w:r>
      <w:r w:rsidRPr="00362D62">
        <w:t xml:space="preserve"> superintendent </w:t>
      </w:r>
      <w:r w:rsidR="009D60C5" w:rsidRPr="00362D62">
        <w:t>[are] [</w:t>
      </w:r>
      <w:r w:rsidRPr="00362D62">
        <w:t>is</w:t>
      </w:r>
      <w:r w:rsidR="009D60C5" w:rsidRPr="00362D62">
        <w:t>]</w:t>
      </w:r>
      <w:r w:rsidRPr="00362D62">
        <w:t xml:space="preserve"> responsible for ensuring that this policy is implemented.</w:t>
      </w:r>
    </w:p>
    <w:p w14:paraId="2C4CA2B7" w14:textId="77777777" w:rsidR="00FE2AD0" w:rsidRPr="00362D62" w:rsidRDefault="00FE2AD0" w:rsidP="000C6324">
      <w:pPr>
        <w:pStyle w:val="PolicyBodyText"/>
      </w:pPr>
    </w:p>
    <w:p w14:paraId="130B1981" w14:textId="77777777" w:rsidR="00FE2AD0" w:rsidRPr="00362D62" w:rsidRDefault="00FE2AD0" w:rsidP="000C6324">
      <w:pPr>
        <w:pStyle w:val="PolicyBodyText"/>
        <w:rPr>
          <w:b/>
        </w:rPr>
      </w:pPr>
      <w:r w:rsidRPr="00362D62">
        <w:rPr>
          <w:b/>
        </w:rPr>
        <w:t>Definitions</w:t>
      </w:r>
    </w:p>
    <w:p w14:paraId="2BDE273B" w14:textId="77777777" w:rsidR="00FE2AD0" w:rsidRPr="00362D62" w:rsidRDefault="00FE2AD0" w:rsidP="000C6324">
      <w:pPr>
        <w:pStyle w:val="PolicyBodyText"/>
      </w:pPr>
    </w:p>
    <w:p w14:paraId="72689AD7" w14:textId="4D2D878F" w:rsidR="0090336F" w:rsidRPr="00362D62" w:rsidRDefault="00FE2AD0" w:rsidP="000C6324">
      <w:pPr>
        <w:pStyle w:val="PolicyBodyText"/>
      </w:pPr>
      <w:r w:rsidRPr="00362D62">
        <w:t>“District” includes district facilities, district premises</w:t>
      </w:r>
      <w:r w:rsidR="008C67F5" w:rsidRPr="00362D62">
        <w:t>,</w:t>
      </w:r>
      <w:r w:rsidRPr="00362D62">
        <w:t xml:space="preserve"> and nondistrict property if the student is at any district-sponsored, district-approved</w:t>
      </w:r>
      <w:r w:rsidR="008C67F5" w:rsidRPr="00362D62">
        <w:t>,</w:t>
      </w:r>
      <w:r w:rsidRPr="00362D62">
        <w:t xml:space="preserve"> or district-related activity or function, such as field trips or athletic events where students are under the </w:t>
      </w:r>
      <w:r w:rsidR="00D70A7A" w:rsidRPr="00362D62">
        <w:t xml:space="preserve">jurisdiction </w:t>
      </w:r>
      <w:r w:rsidRPr="00362D62">
        <w:t>of the district.</w:t>
      </w:r>
    </w:p>
    <w:p w14:paraId="3668C6A0" w14:textId="77777777" w:rsidR="00C21544" w:rsidRPr="00362D62" w:rsidRDefault="00C21544" w:rsidP="000C6324">
      <w:pPr>
        <w:pStyle w:val="PolicyTitleBox"/>
      </w:pPr>
    </w:p>
    <w:p w14:paraId="2E7E2111" w14:textId="6CEA7EE5" w:rsidR="00FE2AD0" w:rsidRPr="00362D62" w:rsidRDefault="00FE2AD0" w:rsidP="000C6324">
      <w:pPr>
        <w:pStyle w:val="PolicyBodyText"/>
      </w:pPr>
      <w:r w:rsidRPr="00362D62">
        <w:t>“Third parties” include, but are not limited to, coaches, school volunteers, parents, school visitors, service contractors</w:t>
      </w:r>
      <w:r w:rsidR="008C67F5" w:rsidRPr="00362D62">
        <w:t>,</w:t>
      </w:r>
      <w:r w:rsidRPr="00362D62">
        <w:t xml:space="preserve"> or others engaged in district business, such as employees of businesses or organizations participating in cooperative work programs with the district and others not directly subject to district control at interdistrict and intradistrict athletic competitions or other school events.</w:t>
      </w:r>
    </w:p>
    <w:p w14:paraId="37C7506F" w14:textId="77777777" w:rsidR="00FE2AD0" w:rsidRPr="00362D62" w:rsidRDefault="00FE2AD0" w:rsidP="000C6324">
      <w:pPr>
        <w:pStyle w:val="PolicyBodyText"/>
      </w:pPr>
    </w:p>
    <w:p w14:paraId="74658232" w14:textId="7B131717" w:rsidR="00FE2AD0" w:rsidRPr="00362D62" w:rsidRDefault="00FE2AD0" w:rsidP="000C6324">
      <w:pPr>
        <w:pStyle w:val="PolicyBodyText"/>
        <w:spacing w:after="240"/>
      </w:pPr>
      <w:r w:rsidRPr="00362D62">
        <w:lastRenderedPageBreak/>
        <w:t>“Harassment, intimidation or bullying” means any act that substantially interferes with a student’s educational benefits, opportunities or performance, that takes place on or immediately adjacent to district grounds, at any district-sponsored activity, on district-provided transportation</w:t>
      </w:r>
      <w:r w:rsidR="008C67F5" w:rsidRPr="00362D62">
        <w:t>,</w:t>
      </w:r>
      <w:r w:rsidRPr="00362D62">
        <w:t xml:space="preserve"> or at any official district bus stop, that may be based on, but not limited to, the protected class status of a person, having the effect of:</w:t>
      </w:r>
    </w:p>
    <w:p w14:paraId="4CCB9877" w14:textId="77777777" w:rsidR="00FE2AD0" w:rsidRPr="00362D62" w:rsidRDefault="00FE2AD0" w:rsidP="000C6324">
      <w:pPr>
        <w:pStyle w:val="Level1"/>
      </w:pPr>
      <w:r w:rsidRPr="00362D62">
        <w:t>Physically harming a student or damaging a student’s property;</w:t>
      </w:r>
    </w:p>
    <w:p w14:paraId="39A4FD66" w14:textId="0688B696" w:rsidR="00FE2AD0" w:rsidRPr="00362D62" w:rsidRDefault="00FE2AD0" w:rsidP="000C6324">
      <w:pPr>
        <w:pStyle w:val="Level1"/>
      </w:pPr>
      <w:r w:rsidRPr="00362D62">
        <w:t>Knowingly placing a student in reasonable fear of physical harm to the student or damage to the student’s property;</w:t>
      </w:r>
      <w:r w:rsidR="008C67F5" w:rsidRPr="00362D62">
        <w:t xml:space="preserve"> or</w:t>
      </w:r>
    </w:p>
    <w:p w14:paraId="099A08AD" w14:textId="08FA0226" w:rsidR="00FE2AD0" w:rsidRPr="00362D62" w:rsidRDefault="00FE2AD0" w:rsidP="000C6324">
      <w:pPr>
        <w:pStyle w:val="Level1"/>
      </w:pPr>
      <w:r w:rsidRPr="00362D62">
        <w:t>Creating a hostile educational environment including interfering with the psychological well</w:t>
      </w:r>
      <w:r w:rsidR="00D11551" w:rsidRPr="00362D62">
        <w:t>-</w:t>
      </w:r>
      <w:r w:rsidRPr="00362D62">
        <w:t>being of the student.</w:t>
      </w:r>
    </w:p>
    <w:p w14:paraId="754B876C" w14:textId="10DC4BEF" w:rsidR="00FE2AD0" w:rsidRPr="00362D62" w:rsidRDefault="00FE2AD0" w:rsidP="000C6324">
      <w:pPr>
        <w:pStyle w:val="PolicyBodyText"/>
      </w:pPr>
      <w:r w:rsidRPr="00362D62">
        <w:t>“Protected class” means a group of persons distinguished, or perceived to be distinguished, by race, color, religion, sex, sexual orientation</w:t>
      </w:r>
      <w:r w:rsidRPr="00362D62">
        <w:rPr>
          <w:rStyle w:val="FootnoteReference"/>
        </w:rPr>
        <w:footnoteReference w:id="1"/>
      </w:r>
      <w:r w:rsidRPr="00362D62">
        <w:t>, national origin, marital status, familial status, source of income</w:t>
      </w:r>
      <w:r w:rsidR="00D70A7A" w:rsidRPr="00362D62">
        <w:t>,</w:t>
      </w:r>
      <w:r w:rsidRPr="00362D62">
        <w:t xml:space="preserve"> or disability.</w:t>
      </w:r>
    </w:p>
    <w:p w14:paraId="6D972B60" w14:textId="77777777" w:rsidR="00FE2AD0" w:rsidRPr="00362D62" w:rsidRDefault="00FE2AD0" w:rsidP="000C6324">
      <w:pPr>
        <w:pStyle w:val="PolicyBodyText"/>
      </w:pPr>
    </w:p>
    <w:p w14:paraId="5B67E681" w14:textId="77777777" w:rsidR="00FE2AD0" w:rsidRPr="00362D62" w:rsidRDefault="00FE2AD0" w:rsidP="000C6324">
      <w:pPr>
        <w:pStyle w:val="PolicyBodyText"/>
      </w:pPr>
      <w:r w:rsidRPr="00362D62">
        <w:t>“Teen dating violence” means:</w:t>
      </w:r>
    </w:p>
    <w:p w14:paraId="3C02BA9B" w14:textId="77777777" w:rsidR="00FE2AD0" w:rsidRPr="00362D62" w:rsidRDefault="00FE2AD0" w:rsidP="000C6324">
      <w:pPr>
        <w:pStyle w:val="PolicyBodyText"/>
      </w:pPr>
    </w:p>
    <w:p w14:paraId="4FBD9AAF" w14:textId="7AB80E69" w:rsidR="00FE2AD0" w:rsidRPr="00362D62" w:rsidRDefault="00FE2AD0" w:rsidP="000C6324">
      <w:pPr>
        <w:pStyle w:val="Level1"/>
        <w:numPr>
          <w:ilvl w:val="0"/>
          <w:numId w:val="16"/>
        </w:numPr>
      </w:pPr>
      <w:r w:rsidRPr="00362D62">
        <w:t>A pattern of behavior in which a person uses or threatens to use physical, mental</w:t>
      </w:r>
      <w:r w:rsidR="00774EAD" w:rsidRPr="00362D62">
        <w:t>,</w:t>
      </w:r>
      <w:r w:rsidRPr="00362D62">
        <w:t xml:space="preserve"> or emotional abuse to control another person who is in a dating relationship with the person, where one or both persons are 13 to 19 years of age; or</w:t>
      </w:r>
    </w:p>
    <w:p w14:paraId="37E40544" w14:textId="77777777" w:rsidR="00FE2AD0" w:rsidRPr="00362D62" w:rsidRDefault="00FE2AD0" w:rsidP="000C6324">
      <w:pPr>
        <w:pStyle w:val="Level1"/>
      </w:pPr>
      <w:r w:rsidRPr="00362D62">
        <w:t>Behavior by which a person uses or threatens to use sexual violence against another person who is in a dating relationship with the person, where one or both persons are 13 to 19 years of age.</w:t>
      </w:r>
    </w:p>
    <w:p w14:paraId="41AAC570" w14:textId="473811BD" w:rsidR="00FE2AD0" w:rsidRPr="00362D62" w:rsidRDefault="00FE2AD0" w:rsidP="000C6324">
      <w:pPr>
        <w:pStyle w:val="PolicyBodyText"/>
        <w:spacing w:after="240"/>
      </w:pPr>
      <w:r w:rsidRPr="00362D62">
        <w:t>“Domestic violence” means abuse by one or more of the following acts between family and</w:t>
      </w:r>
      <w:r w:rsidR="00D70A7A" w:rsidRPr="00362D62">
        <w:t>/or</w:t>
      </w:r>
      <w:r w:rsidRPr="00362D62">
        <w:t xml:space="preserve"> household members</w:t>
      </w:r>
      <w:r w:rsidRPr="00362D62">
        <w:rPr>
          <w:rStyle w:val="FootnoteReference"/>
        </w:rPr>
        <w:footnoteReference w:id="2"/>
      </w:r>
      <w:r w:rsidRPr="00362D62">
        <w:t>:</w:t>
      </w:r>
    </w:p>
    <w:p w14:paraId="79A18643" w14:textId="1313493B" w:rsidR="00FE2AD0" w:rsidRPr="00362D62" w:rsidRDefault="00FE2AD0" w:rsidP="000C6324">
      <w:pPr>
        <w:pStyle w:val="Level1"/>
        <w:numPr>
          <w:ilvl w:val="0"/>
          <w:numId w:val="17"/>
        </w:numPr>
      </w:pPr>
      <w:r w:rsidRPr="00362D62">
        <w:t>Attempting to cause or intentionally, knowingly</w:t>
      </w:r>
      <w:r w:rsidR="00D70A7A" w:rsidRPr="00362D62">
        <w:t>,</w:t>
      </w:r>
      <w:r w:rsidRPr="00362D62">
        <w:t xml:space="preserve"> or recklessly causing bodily injury;</w:t>
      </w:r>
    </w:p>
    <w:p w14:paraId="44A8B180" w14:textId="77777777" w:rsidR="00FE2AD0" w:rsidRPr="00362D62" w:rsidRDefault="00FE2AD0" w:rsidP="000C6324">
      <w:pPr>
        <w:pStyle w:val="Level1"/>
      </w:pPr>
      <w:r w:rsidRPr="00362D62">
        <w:t>Intentionally, knowingly or recklessly placing another in fear of imminent bodily injury;</w:t>
      </w:r>
    </w:p>
    <w:p w14:paraId="16AE4A67" w14:textId="77777777" w:rsidR="00FE2AD0" w:rsidRPr="00362D62" w:rsidRDefault="00FE2AD0" w:rsidP="000C6324">
      <w:pPr>
        <w:pStyle w:val="Level1"/>
      </w:pPr>
      <w:r w:rsidRPr="00362D62">
        <w:t>Causing another to engage in involuntary sexual relations by force or threat of force.</w:t>
      </w:r>
    </w:p>
    <w:p w14:paraId="37690F29" w14:textId="65ED263C" w:rsidR="00FE2AD0" w:rsidRPr="00362D62" w:rsidRDefault="00FE2AD0" w:rsidP="000C6324">
      <w:pPr>
        <w:pStyle w:val="PolicyBodyText"/>
      </w:pPr>
      <w:r w:rsidRPr="00362D62">
        <w:t>“Cyberbullying” is the use of any electronic communication device to harass, intimidate</w:t>
      </w:r>
      <w:r w:rsidR="00D70A7A" w:rsidRPr="00362D62">
        <w:t>,</w:t>
      </w:r>
      <w:r w:rsidRPr="00362D62">
        <w:t xml:space="preserve"> or bully.</w:t>
      </w:r>
    </w:p>
    <w:p w14:paraId="54776525" w14:textId="77777777" w:rsidR="00FE2AD0" w:rsidRPr="00362D62" w:rsidRDefault="00FE2AD0" w:rsidP="000C6324">
      <w:pPr>
        <w:pStyle w:val="PolicyBodyText"/>
      </w:pPr>
    </w:p>
    <w:p w14:paraId="037020B3" w14:textId="655CCF12" w:rsidR="00FE2AD0" w:rsidRPr="00362D62" w:rsidRDefault="00FE2AD0" w:rsidP="000C6324">
      <w:pPr>
        <w:pStyle w:val="PolicyBodyText"/>
      </w:pPr>
      <w:r w:rsidRPr="00362D62">
        <w:lastRenderedPageBreak/>
        <w:t>“Retaliation” means</w:t>
      </w:r>
      <w:r w:rsidR="000F5F5F" w:rsidRPr="00362D62">
        <w:t xml:space="preserve"> any acts of, including but not limited to,</w:t>
      </w:r>
      <w:r w:rsidRPr="00362D62">
        <w:t xml:space="preserve"> harassment, intimidation or bullying, </w:t>
      </w:r>
      <w:r w:rsidR="00E616A1" w:rsidRPr="00362D62">
        <w:t>, or</w:t>
      </w:r>
      <w:r w:rsidRPr="00362D62">
        <w:t xml:space="preserve"> cyberbullying toward </w:t>
      </w:r>
      <w:r w:rsidR="00EE693E" w:rsidRPr="00362D62">
        <w:t xml:space="preserve">the victim, </w:t>
      </w:r>
      <w:r w:rsidRPr="00362D62">
        <w:t>a person in response to a</w:t>
      </w:r>
      <w:r w:rsidR="00E616A1" w:rsidRPr="00362D62">
        <w:t>n</w:t>
      </w:r>
      <w:r w:rsidRPr="00362D62">
        <w:t xml:space="preserve"> actual or apparent reporting</w:t>
      </w:r>
      <w:r w:rsidR="00E616A1" w:rsidRPr="00362D62">
        <w:t xml:space="preserve"> of,</w:t>
      </w:r>
      <w:r w:rsidRPr="00362D62">
        <w:t xml:space="preserve"> or participat</w:t>
      </w:r>
      <w:r w:rsidR="006929A6" w:rsidRPr="00362D62">
        <w:t>ion</w:t>
      </w:r>
      <w:r w:rsidRPr="00362D62">
        <w:t xml:space="preserve"> in the investigation of</w:t>
      </w:r>
      <w:r w:rsidR="00E616A1" w:rsidRPr="00362D62">
        <w:t>,</w:t>
      </w:r>
      <w:r w:rsidRPr="00362D62">
        <w:t xml:space="preserve"> harassment, intimidation or bullying, teen dating violence</w:t>
      </w:r>
      <w:r w:rsidR="00E616A1" w:rsidRPr="00362D62">
        <w:t>,</w:t>
      </w:r>
      <w:r w:rsidRPr="00362D62">
        <w:t xml:space="preserve"> acts of cyberbullying</w:t>
      </w:r>
      <w:r w:rsidR="00E616A1" w:rsidRPr="00362D62">
        <w:t>,</w:t>
      </w:r>
      <w:r w:rsidRPr="00362D62">
        <w:t xml:space="preserve"> or retaliation.</w:t>
      </w:r>
    </w:p>
    <w:p w14:paraId="7FA327D9" w14:textId="77777777" w:rsidR="00FE2AD0" w:rsidRPr="00362D62" w:rsidRDefault="00FE2AD0" w:rsidP="000C6324">
      <w:pPr>
        <w:pStyle w:val="PolicyBodyText"/>
      </w:pPr>
    </w:p>
    <w:p w14:paraId="008D7732" w14:textId="77777777" w:rsidR="00FE2AD0" w:rsidRPr="00362D62" w:rsidRDefault="00FE2AD0" w:rsidP="000C6324">
      <w:pPr>
        <w:pStyle w:val="PolicyBodyText"/>
        <w:rPr>
          <w:b/>
        </w:rPr>
      </w:pPr>
      <w:r w:rsidRPr="00362D62">
        <w:rPr>
          <w:b/>
        </w:rPr>
        <w:t>Reporting</w:t>
      </w:r>
    </w:p>
    <w:p w14:paraId="4E2267C5" w14:textId="77777777" w:rsidR="00FE2AD0" w:rsidRPr="00362D62" w:rsidRDefault="00FE2AD0" w:rsidP="000C6324">
      <w:pPr>
        <w:pStyle w:val="PolicyBodyText"/>
      </w:pPr>
    </w:p>
    <w:p w14:paraId="18F3C9A9" w14:textId="23D25BAF" w:rsidR="00FE2AD0" w:rsidRPr="00362D62" w:rsidRDefault="00AB075E" w:rsidP="000C6324">
      <w:pPr>
        <w:pStyle w:val="PolicyBodyText"/>
      </w:pPr>
      <w:r w:rsidRPr="00362D62">
        <w:t xml:space="preserve">The </w:t>
      </w:r>
      <w:r w:rsidR="00FE2AD0" w:rsidRPr="00362D62">
        <w:t>[</w:t>
      </w:r>
      <w:r w:rsidR="007B5F09" w:rsidRPr="00362D62">
        <w:t>e</w:t>
      </w:r>
      <w:r w:rsidR="00FE2AD0" w:rsidRPr="00362D62">
        <w:t>mployee position title</w:t>
      </w:r>
      <w:r w:rsidR="002A297F" w:rsidRPr="008033B9">
        <w:rPr>
          <w:rStyle w:val="FootnoteReference"/>
        </w:rPr>
        <w:footnoteReference w:id="3"/>
      </w:r>
      <w:r w:rsidR="00FE2AD0" w:rsidRPr="00362D62">
        <w:t>] will take reports and conduct a prompt investigation of any report of an</w:t>
      </w:r>
      <w:r w:rsidR="002C4F4A" w:rsidRPr="00362D62">
        <w:t>y</w:t>
      </w:r>
      <w:r w:rsidR="00FE2AD0" w:rsidRPr="00362D62">
        <w:t xml:space="preserve"> act of harassment, intimidation or bullying</w:t>
      </w:r>
      <w:r w:rsidR="00536358" w:rsidRPr="00362D62">
        <w:t>,</w:t>
      </w:r>
      <w:r w:rsidR="00FE2AD0" w:rsidRPr="00362D62">
        <w:t xml:space="preserve"> cyberbullying</w:t>
      </w:r>
      <w:r w:rsidRPr="00362D62">
        <w:t>, or teen dating violence</w:t>
      </w:r>
      <w:r w:rsidR="00FE2AD0" w:rsidRPr="00362D62">
        <w:t>. Any employee who has knowledge of conduct in violation of this policy shall immediately report concerns to the [employee position title] who has overall responsibility for all investigations. Any employee who has knowledge of incidents of teen dating violence that took place on district property, at a district-sponsored activity</w:t>
      </w:r>
      <w:r w:rsidR="00C26F72" w:rsidRPr="00362D62">
        <w:t>,</w:t>
      </w:r>
      <w:r w:rsidR="00FE2AD0" w:rsidRPr="00362D62">
        <w:t xml:space="preserve"> or in a vehicle used for </w:t>
      </w:r>
      <w:r w:rsidR="00C26F72" w:rsidRPr="00362D62">
        <w:t>district-provided transportation</w:t>
      </w:r>
      <w:r w:rsidR="00FE2AD0" w:rsidRPr="00362D62">
        <w:t xml:space="preserve"> shall immediately report the incident to the [employee position title]. Failure of an employee to report an act of harassment, intimidation or bullying, teen dating violence</w:t>
      </w:r>
      <w:r w:rsidR="00FE1665" w:rsidRPr="00362D62">
        <w:t>,</w:t>
      </w:r>
      <w:r w:rsidR="00FE2AD0" w:rsidRPr="00362D62">
        <w:t xml:space="preserve"> or an act of cyberbullying to the [employee position title] may be subject to remedial action, up to and including dismissal. Remedial action may not be based solely on an anonymous report.</w:t>
      </w:r>
    </w:p>
    <w:p w14:paraId="5B8C1636" w14:textId="77777777" w:rsidR="00FE2AD0" w:rsidRPr="00362D62" w:rsidRDefault="00FE2AD0" w:rsidP="000C6324">
      <w:pPr>
        <w:pStyle w:val="PolicyBodyText"/>
      </w:pPr>
    </w:p>
    <w:p w14:paraId="0D1FEAF1" w14:textId="18CFAA40" w:rsidR="00FE2AD0" w:rsidRPr="00362D62" w:rsidRDefault="00FE2AD0" w:rsidP="000C6324">
      <w:pPr>
        <w:pStyle w:val="PolicyBodyText"/>
      </w:pPr>
      <w:r w:rsidRPr="00362D62">
        <w:t>Any student who</w:t>
      </w:r>
      <w:r w:rsidR="006D6F45" w:rsidRPr="00362D62">
        <w:t xml:space="preserve"> </w:t>
      </w:r>
      <w:r w:rsidRPr="00362D62">
        <w:t>has knowledge o</w:t>
      </w:r>
      <w:r w:rsidR="004C0532" w:rsidRPr="00362D62">
        <w:t>f</w:t>
      </w:r>
      <w:r w:rsidRPr="00362D62">
        <w:t xml:space="preserve"> conduct in violation of this policy or feels</w:t>
      </w:r>
      <w:r w:rsidR="0065005F" w:rsidRPr="00362D62">
        <w:t xml:space="preserve"> </w:t>
      </w:r>
      <w:r w:rsidR="002B30E6" w:rsidRPr="00362D62">
        <w:t xml:space="preserve">they </w:t>
      </w:r>
      <w:r w:rsidR="00AA3095" w:rsidRPr="00362D62">
        <w:t xml:space="preserve">have </w:t>
      </w:r>
      <w:r w:rsidRPr="00362D62">
        <w:t xml:space="preserve">been harassed, intimidated or bullied, </w:t>
      </w:r>
      <w:r w:rsidR="005B1C15" w:rsidRPr="00362D62">
        <w:t xml:space="preserve">been </w:t>
      </w:r>
      <w:r w:rsidRPr="00362D62">
        <w:t xml:space="preserve">a victim of teen dating violence </w:t>
      </w:r>
      <w:r w:rsidR="006D4174" w:rsidRPr="00362D62">
        <w:t xml:space="preserve">or </w:t>
      </w:r>
      <w:r w:rsidRPr="00362D62">
        <w:t xml:space="preserve">acts of being cyberbullied in violation of this policy is encouraged to immediately report </w:t>
      </w:r>
      <w:r w:rsidR="00AA3095" w:rsidRPr="00362D62">
        <w:t xml:space="preserve">their </w:t>
      </w:r>
      <w:r w:rsidRPr="00362D62">
        <w:t xml:space="preserve">concerns to the [employee position title] who has overall responsibility for all investigations. Any volunteer who has knowledge of conduct in violation of this policy is encouraged to immediately report </w:t>
      </w:r>
      <w:r w:rsidR="00AA3095" w:rsidRPr="00362D62">
        <w:t xml:space="preserve">their </w:t>
      </w:r>
      <w:r w:rsidRPr="00362D62">
        <w:t>concerns to the [employee position title].</w:t>
      </w:r>
      <w:r w:rsidR="000F25DD" w:rsidRPr="00362D62">
        <w:t xml:space="preserve"> </w:t>
      </w:r>
      <w:r w:rsidR="00227B0C" w:rsidRPr="00362D62">
        <w:t xml:space="preserve">A </w:t>
      </w:r>
      <w:r w:rsidRPr="00362D62">
        <w:t xml:space="preserve">report </w:t>
      </w:r>
      <w:r w:rsidR="004F4A3D" w:rsidRPr="00362D62">
        <w:t xml:space="preserve">from a student or volunteer </w:t>
      </w:r>
      <w:r w:rsidRPr="00362D62">
        <w:t>may be made anonymously. A student or volunteer may also report concerns to a teacher or counselor who will be responsible for notifying the appropriate district official.</w:t>
      </w:r>
    </w:p>
    <w:p w14:paraId="1C84D1AE" w14:textId="77777777" w:rsidR="00FE2AD0" w:rsidRPr="00362D62" w:rsidRDefault="00FE2AD0" w:rsidP="000C6324">
      <w:pPr>
        <w:pStyle w:val="PolicyBodyText"/>
      </w:pPr>
    </w:p>
    <w:p w14:paraId="2E6CC78B" w14:textId="660AC7DD" w:rsidR="00FE2AD0" w:rsidRPr="00362D62" w:rsidRDefault="00EE693E" w:rsidP="000C6324">
      <w:pPr>
        <w:pStyle w:val="PolicyBodyText"/>
      </w:pPr>
      <w:r w:rsidRPr="00362D62">
        <w:t xml:space="preserve">Reports </w:t>
      </w:r>
      <w:r w:rsidR="00FE2AD0" w:rsidRPr="00362D62">
        <w:t xml:space="preserve">against the principal shall be filed with the superintendent. </w:t>
      </w:r>
      <w:r w:rsidRPr="00362D62">
        <w:t xml:space="preserve">Reports </w:t>
      </w:r>
      <w:r w:rsidR="00FE2AD0" w:rsidRPr="00362D62">
        <w:t>against the superintendent shall be filed with the Board chair.</w:t>
      </w:r>
    </w:p>
    <w:p w14:paraId="1E2FF657" w14:textId="77777777" w:rsidR="00FE2AD0" w:rsidRPr="00362D62" w:rsidRDefault="00FE2AD0" w:rsidP="000C6324">
      <w:pPr>
        <w:pStyle w:val="PolicyBodyText"/>
      </w:pPr>
    </w:p>
    <w:p w14:paraId="310A2F17" w14:textId="0B712D5E" w:rsidR="00FE2AD0" w:rsidRPr="00362D62" w:rsidRDefault="00FE2AD0" w:rsidP="000C6324">
      <w:pPr>
        <w:pStyle w:val="PolicyBodyText"/>
        <w:spacing w:after="240"/>
      </w:pPr>
      <w:r w:rsidRPr="00362D62">
        <w:t xml:space="preserve">The </w:t>
      </w:r>
      <w:r w:rsidR="00EE693E" w:rsidRPr="00362D62">
        <w:t xml:space="preserve">person who </w:t>
      </w:r>
      <w:r w:rsidR="0085006D" w:rsidRPr="00362D62">
        <w:t xml:space="preserve">makes the </w:t>
      </w:r>
      <w:r w:rsidR="00EE693E" w:rsidRPr="00362D62">
        <w:t xml:space="preserve">report </w:t>
      </w:r>
      <w:r w:rsidRPr="00362D62">
        <w:t xml:space="preserve">shall be notified </w:t>
      </w:r>
      <w:r w:rsidR="0085006D" w:rsidRPr="00362D62">
        <w:t xml:space="preserve">when </w:t>
      </w:r>
      <w:r w:rsidRPr="00362D62">
        <w:t xml:space="preserve">the investigation </w:t>
      </w:r>
      <w:r w:rsidR="0085006D" w:rsidRPr="00362D62">
        <w:t xml:space="preserve">has been completed </w:t>
      </w:r>
      <w:r w:rsidRPr="00362D62">
        <w:t xml:space="preserve">and, as appropriate, </w:t>
      </w:r>
      <w:r w:rsidR="00D3462F" w:rsidRPr="00362D62">
        <w:t xml:space="preserve">the findings of the investigation and any </w:t>
      </w:r>
      <w:r w:rsidRPr="00362D62">
        <w:t xml:space="preserve">remedial action </w:t>
      </w:r>
      <w:r w:rsidR="0085006D" w:rsidRPr="00362D62">
        <w:t xml:space="preserve">that </w:t>
      </w:r>
      <w:r w:rsidRPr="00362D62">
        <w:t xml:space="preserve">has been taken. The </w:t>
      </w:r>
      <w:r w:rsidR="0085006D" w:rsidRPr="00362D62">
        <w:t xml:space="preserve">person who made the report </w:t>
      </w:r>
      <w:r w:rsidRPr="00362D62">
        <w:t>may request that the [superintendent] review the actions taken in the initial investigation, in accordance with [administrative regulations]</w:t>
      </w:r>
      <w:r w:rsidR="00D3462F" w:rsidRPr="00362D62">
        <w:t xml:space="preserve"> </w:t>
      </w:r>
      <w:r w:rsidRPr="00362D62">
        <w:t>[district complaint procedures].</w:t>
      </w:r>
    </w:p>
    <w:p w14:paraId="6EBD43C5" w14:textId="76AAB760" w:rsidR="00FE2AD0" w:rsidRPr="00362D62" w:rsidRDefault="0085006D" w:rsidP="000C6324">
      <w:pPr>
        <w:pStyle w:val="PolicyBodyText"/>
        <w:rPr>
          <w:b/>
        </w:rPr>
      </w:pPr>
      <w:r w:rsidRPr="00362D62">
        <w:rPr>
          <w:b/>
        </w:rPr>
        <w:t>Training and Education</w:t>
      </w:r>
    </w:p>
    <w:p w14:paraId="0E49DB3C" w14:textId="77777777" w:rsidR="0085006D" w:rsidRPr="00362D62" w:rsidRDefault="0085006D" w:rsidP="000C6324">
      <w:pPr>
        <w:pStyle w:val="PolicyBodyText"/>
        <w:rPr>
          <w:b/>
        </w:rPr>
      </w:pPr>
    </w:p>
    <w:p w14:paraId="6DDDC22B" w14:textId="0CA13AD1" w:rsidR="00FE2AD0" w:rsidRPr="00362D62" w:rsidRDefault="00FE2AD0" w:rsidP="000C6324">
      <w:pPr>
        <w:pStyle w:val="PolicyBodyText"/>
      </w:pPr>
      <w:r w:rsidRPr="00362D62">
        <w:t>The district shall incorporate into existing training programs for students</w:t>
      </w:r>
      <w:r w:rsidR="00D93A83" w:rsidRPr="00362D62">
        <w:t>,</w:t>
      </w:r>
      <w:r w:rsidRPr="00362D62">
        <w:t xml:space="preserve"> information related to the prevention of, and the appropriate response to, acts of harassment, intimidation or bullying</w:t>
      </w:r>
      <w:r w:rsidR="00301E23" w:rsidRPr="00362D62">
        <w:t>,</w:t>
      </w:r>
      <w:r w:rsidRPr="00362D62">
        <w:t xml:space="preserve"> and acts of cyberbullying</w:t>
      </w:r>
      <w:r w:rsidR="007744FD" w:rsidRPr="00362D62">
        <w:t xml:space="preserve"> and this policy</w:t>
      </w:r>
      <w:r w:rsidRPr="00362D62">
        <w:t>.</w:t>
      </w:r>
    </w:p>
    <w:p w14:paraId="6F6ED125" w14:textId="77777777" w:rsidR="00FE2AD0" w:rsidRPr="00362D62" w:rsidRDefault="00FE2AD0" w:rsidP="000C6324">
      <w:pPr>
        <w:pStyle w:val="PolicyBodyText"/>
      </w:pPr>
    </w:p>
    <w:p w14:paraId="095A7D71" w14:textId="77777777" w:rsidR="00FE2AD0" w:rsidRPr="00362D62" w:rsidRDefault="00FE2AD0" w:rsidP="000C6324">
      <w:pPr>
        <w:pStyle w:val="PolicyBodyText"/>
      </w:pPr>
      <w:r w:rsidRPr="00362D62">
        <w:t>The district shall incorporate age-appropriate education about teen dating violence and domestic violence into new or existing training programs for students in grade 7 through 12.</w:t>
      </w:r>
    </w:p>
    <w:p w14:paraId="6F8B1B69" w14:textId="77777777" w:rsidR="00FE2AD0" w:rsidRPr="00362D62" w:rsidRDefault="00FE2AD0" w:rsidP="000C6324">
      <w:pPr>
        <w:pStyle w:val="PolicyBodyText"/>
      </w:pPr>
    </w:p>
    <w:p w14:paraId="2DCA5B72" w14:textId="089690BC" w:rsidR="00362D62" w:rsidRDefault="00FE2AD0" w:rsidP="000C6324">
      <w:pPr>
        <w:pStyle w:val="PolicyBodyText"/>
        <w:rPr>
          <w:b/>
        </w:rPr>
      </w:pPr>
      <w:r w:rsidRPr="00362D62">
        <w:t>The district shall incorporate into existing training programs for staff, information related to the prevention of, and the appropriate response to, acts of harassment, intimidation or bullying, teen dating violence, domestic violence</w:t>
      </w:r>
      <w:r w:rsidR="00D93A83" w:rsidRPr="00362D62">
        <w:t>,</w:t>
      </w:r>
      <w:r w:rsidRPr="00362D62">
        <w:t xml:space="preserve"> and acts of cyberbullying</w:t>
      </w:r>
      <w:r w:rsidR="007744FD" w:rsidRPr="00362D62">
        <w:t xml:space="preserve"> and this policy</w:t>
      </w:r>
      <w:r w:rsidRPr="00362D62">
        <w:t>.</w:t>
      </w:r>
      <w:r w:rsidR="00362D62">
        <w:rPr>
          <w:b/>
        </w:rPr>
        <w:br w:type="page"/>
      </w:r>
    </w:p>
    <w:p w14:paraId="208BF5D8" w14:textId="7CDFB908" w:rsidR="00FE2AD0" w:rsidRPr="00362D62" w:rsidRDefault="0085006D" w:rsidP="000C6324">
      <w:pPr>
        <w:pStyle w:val="PolicyBodyText"/>
        <w:rPr>
          <w:b/>
        </w:rPr>
      </w:pPr>
      <w:r w:rsidRPr="00362D62">
        <w:rPr>
          <w:b/>
        </w:rPr>
        <w:lastRenderedPageBreak/>
        <w:t>Notice</w:t>
      </w:r>
    </w:p>
    <w:p w14:paraId="4EDD049E" w14:textId="77777777" w:rsidR="007744FD" w:rsidRPr="00362D62" w:rsidRDefault="007744FD" w:rsidP="000C6324">
      <w:pPr>
        <w:pStyle w:val="PolicyBodyText"/>
        <w:rPr>
          <w:b/>
        </w:rPr>
      </w:pPr>
    </w:p>
    <w:p w14:paraId="346317F7" w14:textId="0FE62A6C" w:rsidR="00FE2AD0" w:rsidRPr="00362D62" w:rsidRDefault="00FE2AD0" w:rsidP="000C6324">
      <w:pPr>
        <w:pStyle w:val="PolicyBodyText"/>
        <w:spacing w:after="240"/>
      </w:pPr>
      <w:r w:rsidRPr="00362D62">
        <w:t xml:space="preserve">The superintendent shall be responsible for ensuring annual notice of this policy is provided in a student or </w:t>
      </w:r>
      <w:r w:rsidR="009D60C5" w:rsidRPr="00362D62">
        <w:t xml:space="preserve">staff </w:t>
      </w:r>
      <w:r w:rsidRPr="00362D62">
        <w:t>handbook, school and district website, and school and district office [and the development of administrative regulations, including reporting and investigative procedures]. [Complaint procedures, as established by the district, shall be followed.]</w:t>
      </w:r>
    </w:p>
    <w:p w14:paraId="1558A7EA" w14:textId="0BF6185A" w:rsidR="00FE2AD0" w:rsidRPr="00362D62" w:rsidRDefault="00FE2AD0" w:rsidP="000C6324">
      <w:pPr>
        <w:pStyle w:val="PolicyBodyText"/>
      </w:pPr>
      <w:r w:rsidRPr="00362D62">
        <w:t>Domestic violence posters provided by the Oregon Department of Education (ODE) shall be posted in clearly visible locations on school campuses in accordance with rules adopted by ODE.</w:t>
      </w:r>
    </w:p>
    <w:p w14:paraId="052E81FF" w14:textId="77777777" w:rsidR="00FE2AD0" w:rsidRPr="00362D62" w:rsidRDefault="00FE2AD0" w:rsidP="000C6324">
      <w:pPr>
        <w:pStyle w:val="PolicyBodyText"/>
      </w:pPr>
    </w:p>
    <w:p w14:paraId="643DB9C6" w14:textId="77777777" w:rsidR="00FE2AD0" w:rsidRPr="00362D62" w:rsidRDefault="00FE2AD0" w:rsidP="000C6324">
      <w:pPr>
        <w:pStyle w:val="PolicyBodyText"/>
      </w:pPr>
      <w:r w:rsidRPr="00362D62">
        <w:t>END OF POLICY</w:t>
      </w:r>
    </w:p>
    <w:p w14:paraId="2F0CCC3A" w14:textId="77777777" w:rsidR="00FE2AD0" w:rsidRPr="00362D62" w:rsidRDefault="00FE2AD0" w:rsidP="000C6324">
      <w:pPr>
        <w:pStyle w:val="PolicyLine"/>
      </w:pPr>
    </w:p>
    <w:p w14:paraId="1903AB1C" w14:textId="77777777" w:rsidR="00FE2AD0" w:rsidRPr="00362D62" w:rsidRDefault="00FE2AD0" w:rsidP="000C6324">
      <w:pPr>
        <w:pStyle w:val="PolicyReferencesHeading"/>
        <w:spacing w:after="0"/>
      </w:pPr>
      <w:r w:rsidRPr="00362D62">
        <w:t>Legal Reference(s):</w:t>
      </w:r>
    </w:p>
    <w:p w14:paraId="3CC80313" w14:textId="77777777" w:rsidR="00FE2AD0" w:rsidRPr="00362D62" w:rsidRDefault="00FE2AD0" w:rsidP="000C6324">
      <w:pPr>
        <w:pStyle w:val="PolicyReferences"/>
        <w:rPr>
          <w:szCs w:val="20"/>
        </w:rPr>
      </w:pPr>
    </w:p>
    <w:p w14:paraId="602AC8B1" w14:textId="77777777" w:rsidR="00FE2AD0" w:rsidRPr="00362D62" w:rsidRDefault="00FE2AD0" w:rsidP="000C6324">
      <w:pPr>
        <w:pStyle w:val="PolicyReferences"/>
        <w:rPr>
          <w:szCs w:val="20"/>
        </w:rPr>
        <w:sectPr w:rsidR="00FE2AD0" w:rsidRPr="00362D62" w:rsidSect="00FE2AD0">
          <w:headerReference w:type="default" r:id="rId8"/>
          <w:footerReference w:type="default" r:id="rId9"/>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794B2906" w14:textId="16D66793" w:rsidR="007744FD" w:rsidRPr="00362D62" w:rsidRDefault="002D7543" w:rsidP="000C6324">
      <w:pPr>
        <w:pStyle w:val="PolicyReferences"/>
        <w:rPr>
          <w:szCs w:val="20"/>
        </w:rPr>
      </w:pPr>
      <w:r w:rsidRPr="00362D62">
        <w:rPr>
          <w:rStyle w:val="Hyperlink"/>
          <w:szCs w:val="20"/>
        </w:rPr>
        <w:fldChar w:fldCharType="begin"/>
      </w:r>
      <w:r w:rsidRPr="00362D62">
        <w:rPr>
          <w:rStyle w:val="Hyperlink"/>
          <w:szCs w:val="20"/>
        </w:rPr>
        <w:instrText xml:space="preserve"> HYPERLINK "http://policy.osba.org/orsredir.asp?ors=ors-107" </w:instrText>
      </w:r>
      <w:r w:rsidRPr="00362D62">
        <w:rPr>
          <w:rStyle w:val="Hyperlink"/>
          <w:szCs w:val="20"/>
        </w:rPr>
        <w:fldChar w:fldCharType="separate"/>
      </w:r>
      <w:r w:rsidR="00B414FF" w:rsidRPr="00362D62">
        <w:rPr>
          <w:rStyle w:val="Hyperlink"/>
          <w:szCs w:val="20"/>
        </w:rPr>
        <w:t>ORS 107</w:t>
      </w:r>
      <w:r w:rsidRPr="00362D62">
        <w:rPr>
          <w:rStyle w:val="Hyperlink"/>
          <w:szCs w:val="20"/>
        </w:rPr>
        <w:fldChar w:fldCharType="end"/>
      </w:r>
      <w:r w:rsidR="007744FD" w:rsidRPr="00362D62">
        <w:rPr>
          <w:szCs w:val="20"/>
        </w:rPr>
        <w:t>.705</w:t>
      </w:r>
    </w:p>
    <w:p w14:paraId="21466E96" w14:textId="2B408AC2" w:rsidR="00FE2AD0" w:rsidRPr="00362D62" w:rsidRDefault="000C6324" w:rsidP="000C6324">
      <w:pPr>
        <w:pStyle w:val="PolicyReferences"/>
        <w:rPr>
          <w:szCs w:val="20"/>
        </w:rPr>
      </w:pPr>
      <w:hyperlink r:id="rId10" w:history="1">
        <w:r w:rsidR="00B414FF" w:rsidRPr="00362D62">
          <w:rPr>
            <w:rStyle w:val="Hyperlink"/>
            <w:szCs w:val="20"/>
          </w:rPr>
          <w:t>ORS 166</w:t>
        </w:r>
      </w:hyperlink>
      <w:r w:rsidR="00FE2AD0" w:rsidRPr="00362D62">
        <w:rPr>
          <w:szCs w:val="20"/>
        </w:rPr>
        <w:t>.065</w:t>
      </w:r>
    </w:p>
    <w:p w14:paraId="260D3979" w14:textId="6EFD6B5D" w:rsidR="00FE2AD0" w:rsidRPr="00362D62" w:rsidRDefault="000C6324" w:rsidP="000C6324">
      <w:pPr>
        <w:pStyle w:val="PolicyReferences"/>
        <w:rPr>
          <w:szCs w:val="20"/>
        </w:rPr>
      </w:pPr>
      <w:hyperlink r:id="rId11" w:history="1">
        <w:r w:rsidR="00B414FF" w:rsidRPr="00362D62">
          <w:rPr>
            <w:rStyle w:val="Hyperlink"/>
            <w:szCs w:val="20"/>
          </w:rPr>
          <w:t>ORS 166</w:t>
        </w:r>
      </w:hyperlink>
      <w:r w:rsidR="00FE2AD0" w:rsidRPr="00362D62">
        <w:rPr>
          <w:szCs w:val="20"/>
        </w:rPr>
        <w:t>.155 -</w:t>
      </w:r>
      <w:r w:rsidR="00596F44" w:rsidRPr="00362D62">
        <w:rPr>
          <w:szCs w:val="20"/>
        </w:rPr>
        <w:t xml:space="preserve"> </w:t>
      </w:r>
      <w:r w:rsidR="00FE2AD0" w:rsidRPr="00362D62">
        <w:rPr>
          <w:szCs w:val="20"/>
        </w:rPr>
        <w:t>166.165</w:t>
      </w:r>
    </w:p>
    <w:p w14:paraId="6462ADA6" w14:textId="10D9B7A9" w:rsidR="00FE2AD0" w:rsidRPr="00362D62" w:rsidRDefault="000C6324" w:rsidP="000C6324">
      <w:pPr>
        <w:pStyle w:val="PolicyReferences"/>
        <w:rPr>
          <w:szCs w:val="20"/>
        </w:rPr>
      </w:pPr>
      <w:hyperlink r:id="rId12" w:history="1">
        <w:r w:rsidR="00B414FF" w:rsidRPr="00362D62">
          <w:rPr>
            <w:rStyle w:val="Hyperlink"/>
            <w:szCs w:val="20"/>
          </w:rPr>
          <w:t>ORS 174</w:t>
        </w:r>
      </w:hyperlink>
      <w:r w:rsidR="00FE2AD0" w:rsidRPr="00362D62">
        <w:rPr>
          <w:szCs w:val="20"/>
        </w:rPr>
        <w:t>.100(7)</w:t>
      </w:r>
    </w:p>
    <w:p w14:paraId="38AC9937" w14:textId="2A0C97D4" w:rsidR="00FE2AD0" w:rsidRPr="00362D62" w:rsidRDefault="000C6324" w:rsidP="000C6324">
      <w:pPr>
        <w:pStyle w:val="PolicyReferences"/>
        <w:rPr>
          <w:szCs w:val="20"/>
        </w:rPr>
      </w:pPr>
      <w:hyperlink r:id="rId13" w:history="1">
        <w:r w:rsidR="00B414FF" w:rsidRPr="00362D62">
          <w:rPr>
            <w:rStyle w:val="Hyperlink"/>
            <w:szCs w:val="20"/>
          </w:rPr>
          <w:t>ORS 332</w:t>
        </w:r>
      </w:hyperlink>
      <w:r w:rsidR="00FE2AD0" w:rsidRPr="00362D62">
        <w:rPr>
          <w:szCs w:val="20"/>
        </w:rPr>
        <w:t>.072</w:t>
      </w:r>
    </w:p>
    <w:p w14:paraId="507E99A3" w14:textId="0AA92BDC" w:rsidR="00FE2AD0" w:rsidRPr="00362D62" w:rsidRDefault="000C6324" w:rsidP="000C6324">
      <w:pPr>
        <w:pStyle w:val="PolicyReferences"/>
        <w:rPr>
          <w:szCs w:val="20"/>
        </w:rPr>
      </w:pPr>
      <w:hyperlink r:id="rId14" w:history="1">
        <w:r w:rsidR="00B414FF" w:rsidRPr="00362D62">
          <w:rPr>
            <w:rStyle w:val="Hyperlink"/>
            <w:szCs w:val="20"/>
          </w:rPr>
          <w:t>ORS 332</w:t>
        </w:r>
      </w:hyperlink>
      <w:r w:rsidR="00FE2AD0" w:rsidRPr="00362D62">
        <w:rPr>
          <w:szCs w:val="20"/>
        </w:rPr>
        <w:t>.107</w:t>
      </w:r>
    </w:p>
    <w:p w14:paraId="23D8E712" w14:textId="5AE4F47A" w:rsidR="00FE2AD0" w:rsidRPr="00362D62" w:rsidRDefault="000C6324" w:rsidP="000C6324">
      <w:pPr>
        <w:pStyle w:val="PolicyReferences"/>
        <w:rPr>
          <w:szCs w:val="20"/>
        </w:rPr>
      </w:pPr>
      <w:hyperlink r:id="rId15" w:history="1">
        <w:r w:rsidR="00B414FF" w:rsidRPr="00362D62">
          <w:rPr>
            <w:rStyle w:val="Hyperlink"/>
            <w:szCs w:val="20"/>
          </w:rPr>
          <w:t>ORS 339</w:t>
        </w:r>
      </w:hyperlink>
      <w:r w:rsidR="00FE2AD0" w:rsidRPr="00362D62">
        <w:rPr>
          <w:szCs w:val="20"/>
        </w:rPr>
        <w:t>.240</w:t>
      </w:r>
    </w:p>
    <w:p w14:paraId="532563BF" w14:textId="6699A67E" w:rsidR="00FE2AD0" w:rsidRPr="00362D62" w:rsidRDefault="000C6324" w:rsidP="000C6324">
      <w:pPr>
        <w:pStyle w:val="PolicyReferences"/>
        <w:rPr>
          <w:szCs w:val="20"/>
        </w:rPr>
      </w:pPr>
      <w:hyperlink r:id="rId16" w:history="1">
        <w:r w:rsidR="00B414FF" w:rsidRPr="00362D62">
          <w:rPr>
            <w:rStyle w:val="Hyperlink"/>
            <w:szCs w:val="20"/>
          </w:rPr>
          <w:t>ORS 339</w:t>
        </w:r>
      </w:hyperlink>
      <w:r w:rsidR="00FE2AD0" w:rsidRPr="00362D62">
        <w:rPr>
          <w:szCs w:val="20"/>
        </w:rPr>
        <w:t>.250</w:t>
      </w:r>
    </w:p>
    <w:p w14:paraId="61B085AE" w14:textId="087C71B4" w:rsidR="00FE2AD0" w:rsidRPr="00362D62" w:rsidRDefault="000C6324" w:rsidP="000C6324">
      <w:pPr>
        <w:pStyle w:val="PolicyReferences"/>
        <w:rPr>
          <w:szCs w:val="20"/>
        </w:rPr>
      </w:pPr>
      <w:hyperlink r:id="rId17" w:history="1">
        <w:r w:rsidR="00B414FF" w:rsidRPr="00362D62">
          <w:rPr>
            <w:rStyle w:val="Hyperlink"/>
            <w:szCs w:val="20"/>
          </w:rPr>
          <w:t>ORS 339</w:t>
        </w:r>
      </w:hyperlink>
      <w:r w:rsidR="00FE2AD0" w:rsidRPr="00362D62">
        <w:rPr>
          <w:szCs w:val="20"/>
        </w:rPr>
        <w:t>.351 -</w:t>
      </w:r>
      <w:r w:rsidR="00596F44" w:rsidRPr="00362D62">
        <w:rPr>
          <w:szCs w:val="20"/>
        </w:rPr>
        <w:t xml:space="preserve"> </w:t>
      </w:r>
      <w:r w:rsidR="00FE2AD0" w:rsidRPr="00362D62">
        <w:rPr>
          <w:szCs w:val="20"/>
        </w:rPr>
        <w:t>339.36</w:t>
      </w:r>
      <w:r w:rsidR="007744FD" w:rsidRPr="00362D62">
        <w:rPr>
          <w:szCs w:val="20"/>
        </w:rPr>
        <w:t>8</w:t>
      </w:r>
    </w:p>
    <w:bookmarkStart w:id="2" w:name="OAR"/>
    <w:bookmarkEnd w:id="2"/>
    <w:p w14:paraId="4C05435F" w14:textId="41CC89D5" w:rsidR="00FE2AD0" w:rsidRPr="00362D62" w:rsidRDefault="0007107C" w:rsidP="000C6324">
      <w:pPr>
        <w:pStyle w:val="PolicyReferences"/>
        <w:rPr>
          <w:szCs w:val="20"/>
        </w:rPr>
      </w:pPr>
      <w:r w:rsidRPr="00362D62">
        <w:fldChar w:fldCharType="begin"/>
      </w:r>
      <w:r w:rsidRPr="00362D62">
        <w:instrText xml:space="preserve"> HYPERLINK "http://policy.osba.org/orsredir.asp?ors=oar-581" </w:instrText>
      </w:r>
      <w:r w:rsidRPr="00362D62">
        <w:fldChar w:fldCharType="separate"/>
      </w:r>
      <w:r w:rsidRPr="00362D62">
        <w:rPr>
          <w:rStyle w:val="Hyperlink"/>
        </w:rPr>
        <w:t>OAR 581</w:t>
      </w:r>
      <w:r w:rsidRPr="00362D62">
        <w:fldChar w:fldCharType="end"/>
      </w:r>
      <w:r w:rsidR="00B414FF" w:rsidRPr="00362D62">
        <w:t>-021</w:t>
      </w:r>
      <w:r w:rsidR="00FE2AD0" w:rsidRPr="00362D62">
        <w:rPr>
          <w:szCs w:val="20"/>
        </w:rPr>
        <w:t>-0045</w:t>
      </w:r>
    </w:p>
    <w:p w14:paraId="00F66137" w14:textId="70F8F977" w:rsidR="00FE2AD0" w:rsidRPr="00362D62" w:rsidRDefault="000C6324" w:rsidP="000C6324">
      <w:pPr>
        <w:pStyle w:val="PolicyReferences"/>
        <w:rPr>
          <w:szCs w:val="20"/>
        </w:rPr>
      </w:pPr>
      <w:hyperlink r:id="rId18" w:history="1">
        <w:r w:rsidR="0007107C" w:rsidRPr="00362D62">
          <w:rPr>
            <w:rStyle w:val="Hyperlink"/>
            <w:szCs w:val="20"/>
          </w:rPr>
          <w:t>OAR 581</w:t>
        </w:r>
      </w:hyperlink>
      <w:r w:rsidR="00B414FF" w:rsidRPr="00362D62">
        <w:rPr>
          <w:szCs w:val="20"/>
        </w:rPr>
        <w:t>-021</w:t>
      </w:r>
      <w:r w:rsidR="00FE2AD0" w:rsidRPr="00362D62">
        <w:rPr>
          <w:szCs w:val="20"/>
        </w:rPr>
        <w:t>-0046</w:t>
      </w:r>
    </w:p>
    <w:p w14:paraId="06FC3C52" w14:textId="4184C7D5" w:rsidR="00FE2AD0" w:rsidRPr="00362D62" w:rsidRDefault="000C6324" w:rsidP="000C6324">
      <w:pPr>
        <w:pStyle w:val="PolicyReferences"/>
        <w:rPr>
          <w:szCs w:val="20"/>
        </w:rPr>
      </w:pPr>
      <w:hyperlink r:id="rId19" w:history="1">
        <w:r w:rsidR="0007107C" w:rsidRPr="00362D62">
          <w:rPr>
            <w:rStyle w:val="Hyperlink"/>
            <w:szCs w:val="20"/>
          </w:rPr>
          <w:t>OAR 581</w:t>
        </w:r>
      </w:hyperlink>
      <w:r w:rsidR="00B414FF" w:rsidRPr="00362D62">
        <w:rPr>
          <w:szCs w:val="20"/>
        </w:rPr>
        <w:t>-021</w:t>
      </w:r>
      <w:r w:rsidR="00FE2AD0" w:rsidRPr="00362D62">
        <w:rPr>
          <w:szCs w:val="20"/>
        </w:rPr>
        <w:t>-0055</w:t>
      </w:r>
    </w:p>
    <w:p w14:paraId="7EFD6859" w14:textId="4E367E53" w:rsidR="00FE2AD0" w:rsidRPr="00362D62" w:rsidRDefault="000C6324" w:rsidP="000C6324">
      <w:pPr>
        <w:pStyle w:val="PolicyReferences"/>
        <w:rPr>
          <w:szCs w:val="20"/>
        </w:rPr>
      </w:pPr>
      <w:hyperlink r:id="rId20" w:history="1">
        <w:r w:rsidR="0007107C" w:rsidRPr="00362D62">
          <w:rPr>
            <w:rStyle w:val="Hyperlink"/>
            <w:szCs w:val="20"/>
          </w:rPr>
          <w:t>OAR 581</w:t>
        </w:r>
      </w:hyperlink>
      <w:r w:rsidR="00B414FF" w:rsidRPr="00362D62">
        <w:rPr>
          <w:szCs w:val="20"/>
        </w:rPr>
        <w:t>-022</w:t>
      </w:r>
      <w:r w:rsidR="00FE2AD0" w:rsidRPr="00362D62">
        <w:rPr>
          <w:szCs w:val="20"/>
        </w:rPr>
        <w:t>-2310</w:t>
      </w:r>
    </w:p>
    <w:p w14:paraId="15A2D841" w14:textId="44797175" w:rsidR="007744FD" w:rsidRPr="00362D62" w:rsidRDefault="000C6324" w:rsidP="000C6324">
      <w:pPr>
        <w:pStyle w:val="PolicyReferences"/>
        <w:rPr>
          <w:szCs w:val="20"/>
        </w:rPr>
        <w:sectPr w:rsidR="007744FD" w:rsidRPr="00362D62" w:rsidSect="00FE2AD0">
          <w:footerReference w:type="default" r:id="rId21"/>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2" w:history="1">
        <w:r w:rsidR="0007107C" w:rsidRPr="00362D62">
          <w:rPr>
            <w:rStyle w:val="Hyperlink"/>
            <w:szCs w:val="20"/>
          </w:rPr>
          <w:t>OAR 581</w:t>
        </w:r>
      </w:hyperlink>
      <w:r w:rsidR="007744FD" w:rsidRPr="00362D62">
        <w:rPr>
          <w:szCs w:val="20"/>
        </w:rPr>
        <w:t>-022-2370</w:t>
      </w:r>
    </w:p>
    <w:p w14:paraId="234EF903" w14:textId="77777777" w:rsidR="00FE2AD0" w:rsidRPr="00362D62" w:rsidRDefault="00FE2AD0" w:rsidP="000C6324">
      <w:pPr>
        <w:pStyle w:val="PolicyReferences"/>
        <w:rPr>
          <w:szCs w:val="20"/>
        </w:rPr>
      </w:pPr>
    </w:p>
    <w:p w14:paraId="27B3BD8C" w14:textId="1B61B532" w:rsidR="00FE2AD0" w:rsidRPr="00362D62" w:rsidRDefault="00FE2AD0" w:rsidP="000C6324">
      <w:pPr>
        <w:pStyle w:val="PolicyReferences"/>
        <w:rPr>
          <w:szCs w:val="20"/>
        </w:rPr>
      </w:pPr>
      <w:r w:rsidRPr="00362D62">
        <w:rPr>
          <w:szCs w:val="20"/>
        </w:rPr>
        <w:t>Title VI of the Civil Rights Act of 1964, 42 U.S.C. § 2000d (</w:t>
      </w:r>
      <w:r w:rsidR="00235355" w:rsidRPr="00362D62">
        <w:t>2012</w:t>
      </w:r>
      <w:r w:rsidRPr="00362D62">
        <w:rPr>
          <w:szCs w:val="20"/>
        </w:rPr>
        <w:t>).</w:t>
      </w:r>
      <w:bookmarkStart w:id="3" w:name="LawsEnd"/>
      <w:bookmarkEnd w:id="3"/>
    </w:p>
    <w:p w14:paraId="357B70B3" w14:textId="77777777" w:rsidR="00C8148C" w:rsidRPr="00362D62" w:rsidRDefault="00C8148C" w:rsidP="000C6324">
      <w:pPr>
        <w:pStyle w:val="PolicyReferences"/>
        <w:rPr>
          <w:szCs w:val="20"/>
        </w:rPr>
      </w:pPr>
    </w:p>
    <w:sectPr w:rsidR="00C8148C" w:rsidRPr="00362D62" w:rsidSect="00FE2AD0">
      <w:footerReference w:type="default" r:id="rId23"/>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978E" w14:textId="77777777" w:rsidR="00FE2AD0" w:rsidRDefault="00FE2AD0" w:rsidP="00FC3907">
      <w:r>
        <w:separator/>
      </w:r>
    </w:p>
  </w:endnote>
  <w:endnote w:type="continuationSeparator" w:id="0">
    <w:p w14:paraId="626F2962" w14:textId="77777777" w:rsidR="00FE2AD0" w:rsidRDefault="00FE2AD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FE2AD0" w:rsidRPr="00362D62" w14:paraId="11782665" w14:textId="77777777" w:rsidTr="004616AD">
      <w:tc>
        <w:tcPr>
          <w:tcW w:w="2340" w:type="dxa"/>
        </w:tcPr>
        <w:p w14:paraId="7FD1B89A" w14:textId="4C9B4CD7" w:rsidR="00FE2AD0" w:rsidRPr="00362D62" w:rsidRDefault="00FE2AD0" w:rsidP="004616AD">
          <w:pPr>
            <w:pStyle w:val="Footer"/>
            <w:rPr>
              <w:noProof/>
              <w:sz w:val="20"/>
            </w:rPr>
          </w:pPr>
          <w:r w:rsidRPr="00362D62">
            <w:rPr>
              <w:noProof/>
              <w:sz w:val="20"/>
            </w:rPr>
            <w:t>R</w:t>
          </w:r>
          <w:r w:rsidR="00416110" w:rsidRPr="00362D62">
            <w:rPr>
              <w:noProof/>
              <w:sz w:val="20"/>
            </w:rPr>
            <w:t>7/18</w:t>
          </w:r>
          <w:r w:rsidR="00023CED" w:rsidRPr="00362D62">
            <w:rPr>
              <w:noProof/>
              <w:sz w:val="20"/>
            </w:rPr>
            <w:t>/19</w:t>
          </w:r>
          <w:r w:rsidRPr="00362D62">
            <w:rPr>
              <w:noProof/>
              <w:sz w:val="20"/>
            </w:rPr>
            <w:t>│</w:t>
          </w:r>
          <w:r w:rsidR="00C21544" w:rsidRPr="00362D62">
            <w:rPr>
              <w:noProof/>
              <w:sz w:val="20"/>
            </w:rPr>
            <w:t>RS</w:t>
          </w:r>
        </w:p>
      </w:tc>
      <w:tc>
        <w:tcPr>
          <w:tcW w:w="7956" w:type="dxa"/>
        </w:tcPr>
        <w:p w14:paraId="029E3DD3" w14:textId="7D63D372" w:rsidR="007B6754" w:rsidRPr="00362D62" w:rsidRDefault="00FE2AD0" w:rsidP="004616AD">
          <w:pPr>
            <w:pStyle w:val="Footer"/>
            <w:jc w:val="right"/>
          </w:pPr>
          <w:r w:rsidRPr="00362D62">
            <w:t>Harassment</w:t>
          </w:r>
          <w:r w:rsidR="007B6754" w:rsidRPr="00362D62">
            <w:t xml:space="preserve">, </w:t>
          </w:r>
          <w:r w:rsidRPr="00362D62">
            <w:t>Intimidation</w:t>
          </w:r>
          <w:r w:rsidR="007B6754" w:rsidRPr="00362D62">
            <w:t xml:space="preserve">, </w:t>
          </w:r>
          <w:r w:rsidRPr="00362D62">
            <w:t>Bullying</w:t>
          </w:r>
          <w:r w:rsidR="007B6754" w:rsidRPr="00362D62">
            <w:t xml:space="preserve">, </w:t>
          </w:r>
          <w:r w:rsidRPr="00362D62">
            <w:t>Cyberbullying</w:t>
          </w:r>
          <w:r w:rsidR="007B6754" w:rsidRPr="00362D62">
            <w:t xml:space="preserve">, </w:t>
          </w:r>
          <w:r w:rsidRPr="00362D62">
            <w:t>Teen Dating Violence</w:t>
          </w:r>
          <w:r w:rsidR="001353F1" w:rsidRPr="00362D62">
            <w:t>,</w:t>
          </w:r>
        </w:p>
        <w:p w14:paraId="2BA3D67F" w14:textId="131E461A" w:rsidR="00FE2AD0" w:rsidRPr="00362D62" w:rsidRDefault="007B6754" w:rsidP="004616AD">
          <w:pPr>
            <w:pStyle w:val="Footer"/>
            <w:jc w:val="right"/>
          </w:pPr>
          <w:r w:rsidRPr="00362D62">
            <w:t>and D</w:t>
          </w:r>
          <w:r w:rsidR="00FE2AD0" w:rsidRPr="00362D62">
            <w:t>omestic Violence – Student** – JFCF</w:t>
          </w:r>
        </w:p>
        <w:p w14:paraId="47689064" w14:textId="77777777" w:rsidR="00FE2AD0" w:rsidRPr="00362D62" w:rsidRDefault="00FE2AD0" w:rsidP="004616AD">
          <w:pPr>
            <w:pStyle w:val="Footer"/>
            <w:jc w:val="right"/>
            <w:rPr>
              <w:sz w:val="20"/>
            </w:rPr>
          </w:pPr>
          <w:r w:rsidRPr="00362D62">
            <w:rPr>
              <w:bCs/>
              <w:noProof/>
            </w:rPr>
            <w:fldChar w:fldCharType="begin"/>
          </w:r>
          <w:r w:rsidRPr="00362D62">
            <w:rPr>
              <w:bCs/>
              <w:noProof/>
            </w:rPr>
            <w:instrText xml:space="preserve"> PAGE  \* Arabic  \* MERGEFORMAT </w:instrText>
          </w:r>
          <w:r w:rsidRPr="00362D62">
            <w:rPr>
              <w:bCs/>
              <w:noProof/>
            </w:rPr>
            <w:fldChar w:fldCharType="separate"/>
          </w:r>
          <w:r w:rsidRPr="00362D62">
            <w:rPr>
              <w:bCs/>
              <w:noProof/>
            </w:rPr>
            <w:t>1</w:t>
          </w:r>
          <w:r w:rsidRPr="00362D62">
            <w:rPr>
              <w:bCs/>
              <w:noProof/>
            </w:rPr>
            <w:fldChar w:fldCharType="end"/>
          </w:r>
          <w:r w:rsidRPr="00362D62">
            <w:rPr>
              <w:noProof/>
            </w:rPr>
            <w:t>-</w:t>
          </w:r>
          <w:r w:rsidRPr="00362D62">
            <w:rPr>
              <w:bCs/>
              <w:noProof/>
            </w:rPr>
            <w:fldChar w:fldCharType="begin"/>
          </w:r>
          <w:r w:rsidRPr="00362D62">
            <w:rPr>
              <w:bCs/>
              <w:noProof/>
            </w:rPr>
            <w:instrText xml:space="preserve"> NUMPAGES  \* Arabic  \* MERGEFORMAT </w:instrText>
          </w:r>
          <w:r w:rsidRPr="00362D62">
            <w:rPr>
              <w:bCs/>
              <w:noProof/>
            </w:rPr>
            <w:fldChar w:fldCharType="separate"/>
          </w:r>
          <w:r w:rsidRPr="00362D62">
            <w:rPr>
              <w:bCs/>
              <w:noProof/>
            </w:rPr>
            <w:t>1</w:t>
          </w:r>
          <w:r w:rsidRPr="00362D62">
            <w:rPr>
              <w:bCs/>
              <w:noProof/>
            </w:rPr>
            <w:fldChar w:fldCharType="end"/>
          </w:r>
        </w:p>
      </w:tc>
    </w:tr>
  </w:tbl>
  <w:p w14:paraId="4965B0E8" w14:textId="77777777" w:rsidR="00FE2AD0" w:rsidRPr="00362D62" w:rsidRDefault="00FE2AD0" w:rsidP="003B78F2">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FE2AD0" w:rsidRPr="00362D62" w14:paraId="6F47CE7D" w14:textId="77777777" w:rsidTr="004616AD">
      <w:tc>
        <w:tcPr>
          <w:tcW w:w="2340" w:type="dxa"/>
        </w:tcPr>
        <w:p w14:paraId="36419AB4" w14:textId="77777777" w:rsidR="00FE2AD0" w:rsidRPr="00362D62" w:rsidRDefault="00FE2AD0" w:rsidP="004616AD">
          <w:pPr>
            <w:pStyle w:val="Footer"/>
            <w:rPr>
              <w:noProof/>
              <w:sz w:val="20"/>
            </w:rPr>
          </w:pPr>
          <w:r w:rsidRPr="00362D62">
            <w:rPr>
              <w:noProof/>
              <w:sz w:val="20"/>
            </w:rPr>
            <w:t>R7/01/17│PH</w:t>
          </w:r>
        </w:p>
      </w:tc>
      <w:tc>
        <w:tcPr>
          <w:tcW w:w="7956" w:type="dxa"/>
        </w:tcPr>
        <w:p w14:paraId="0DD8BEDD" w14:textId="77777777" w:rsidR="00FE2AD0" w:rsidRPr="00362D62" w:rsidRDefault="00FE2AD0" w:rsidP="004616AD">
          <w:pPr>
            <w:pStyle w:val="Footer"/>
            <w:jc w:val="right"/>
          </w:pPr>
          <w:r w:rsidRPr="00362D62">
            <w:t>Harassment/Intimidation/Bullying/Cyberbullying/Teen Dating Violence/</w:t>
          </w:r>
          <w:r w:rsidRPr="00362D62">
            <w:br/>
            <w:t>Domestic Violence – Student ** – JFCF</w:t>
          </w:r>
        </w:p>
        <w:p w14:paraId="4F1EE519" w14:textId="77777777" w:rsidR="00FE2AD0" w:rsidRPr="00362D62" w:rsidRDefault="00FE2AD0" w:rsidP="004616AD">
          <w:pPr>
            <w:pStyle w:val="Footer"/>
            <w:jc w:val="right"/>
            <w:rPr>
              <w:sz w:val="20"/>
            </w:rPr>
          </w:pPr>
          <w:r w:rsidRPr="00362D62">
            <w:rPr>
              <w:bCs/>
              <w:noProof/>
            </w:rPr>
            <w:fldChar w:fldCharType="begin"/>
          </w:r>
          <w:r w:rsidRPr="00362D62">
            <w:rPr>
              <w:bCs/>
              <w:noProof/>
            </w:rPr>
            <w:instrText xml:space="preserve"> PAGE  \* Arabic  \* MERGEFORMAT </w:instrText>
          </w:r>
          <w:r w:rsidRPr="00362D62">
            <w:rPr>
              <w:bCs/>
              <w:noProof/>
            </w:rPr>
            <w:fldChar w:fldCharType="separate"/>
          </w:r>
          <w:r w:rsidRPr="00362D62">
            <w:rPr>
              <w:bCs/>
              <w:noProof/>
            </w:rPr>
            <w:t>1</w:t>
          </w:r>
          <w:r w:rsidRPr="00362D62">
            <w:rPr>
              <w:bCs/>
              <w:noProof/>
            </w:rPr>
            <w:fldChar w:fldCharType="end"/>
          </w:r>
          <w:r w:rsidRPr="00362D62">
            <w:rPr>
              <w:noProof/>
            </w:rPr>
            <w:t>-</w:t>
          </w:r>
          <w:r w:rsidRPr="00362D62">
            <w:rPr>
              <w:bCs/>
              <w:noProof/>
            </w:rPr>
            <w:fldChar w:fldCharType="begin"/>
          </w:r>
          <w:r w:rsidRPr="00362D62">
            <w:rPr>
              <w:bCs/>
              <w:noProof/>
            </w:rPr>
            <w:instrText xml:space="preserve"> NUMPAGES  \* Arabic  \* MERGEFORMAT </w:instrText>
          </w:r>
          <w:r w:rsidRPr="00362D62">
            <w:rPr>
              <w:bCs/>
              <w:noProof/>
            </w:rPr>
            <w:fldChar w:fldCharType="separate"/>
          </w:r>
          <w:r w:rsidRPr="00362D62">
            <w:rPr>
              <w:bCs/>
              <w:noProof/>
            </w:rPr>
            <w:t>1</w:t>
          </w:r>
          <w:r w:rsidRPr="00362D62">
            <w:rPr>
              <w:bCs/>
              <w:noProof/>
            </w:rPr>
            <w:fldChar w:fldCharType="end"/>
          </w:r>
        </w:p>
      </w:tc>
    </w:tr>
  </w:tbl>
  <w:p w14:paraId="30C98C85" w14:textId="77777777" w:rsidR="00FE2AD0" w:rsidRPr="00362D62" w:rsidRDefault="00FE2AD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FE2AD0" w:rsidRPr="00362D62" w14:paraId="30142116" w14:textId="77777777" w:rsidTr="004616AD">
      <w:tc>
        <w:tcPr>
          <w:tcW w:w="2340" w:type="dxa"/>
        </w:tcPr>
        <w:p w14:paraId="5F0A8973" w14:textId="77777777" w:rsidR="00FE2AD0" w:rsidRPr="00362D62" w:rsidRDefault="00FE2AD0" w:rsidP="004616AD">
          <w:pPr>
            <w:pStyle w:val="Footer"/>
            <w:rPr>
              <w:noProof/>
              <w:sz w:val="20"/>
            </w:rPr>
          </w:pPr>
          <w:r w:rsidRPr="00362D62">
            <w:rPr>
              <w:noProof/>
              <w:sz w:val="20"/>
            </w:rPr>
            <w:t>R7/01/17│PH</w:t>
          </w:r>
        </w:p>
      </w:tc>
      <w:tc>
        <w:tcPr>
          <w:tcW w:w="7956" w:type="dxa"/>
        </w:tcPr>
        <w:p w14:paraId="3247D7C5" w14:textId="77777777" w:rsidR="00FE2AD0" w:rsidRPr="00362D62" w:rsidRDefault="00FE2AD0" w:rsidP="004616AD">
          <w:pPr>
            <w:pStyle w:val="Footer"/>
            <w:jc w:val="right"/>
          </w:pPr>
          <w:r w:rsidRPr="00362D62">
            <w:t>Harassment/Intimidation/Bullying/Cyberbullying/Teen Dating Violence/</w:t>
          </w:r>
          <w:r w:rsidRPr="00362D62">
            <w:br/>
            <w:t>Domestic Violence – Student ** – JFCF</w:t>
          </w:r>
        </w:p>
        <w:p w14:paraId="092D75FD" w14:textId="77777777" w:rsidR="00FE2AD0" w:rsidRPr="00362D62" w:rsidRDefault="00FE2AD0" w:rsidP="004616AD">
          <w:pPr>
            <w:pStyle w:val="Footer"/>
            <w:jc w:val="right"/>
            <w:rPr>
              <w:sz w:val="20"/>
            </w:rPr>
          </w:pPr>
          <w:r w:rsidRPr="00362D62">
            <w:rPr>
              <w:bCs/>
              <w:noProof/>
            </w:rPr>
            <w:fldChar w:fldCharType="begin"/>
          </w:r>
          <w:r w:rsidRPr="00362D62">
            <w:rPr>
              <w:bCs/>
              <w:noProof/>
            </w:rPr>
            <w:instrText xml:space="preserve"> PAGE  \* Arabic  \* MERGEFORMAT </w:instrText>
          </w:r>
          <w:r w:rsidRPr="00362D62">
            <w:rPr>
              <w:bCs/>
              <w:noProof/>
            </w:rPr>
            <w:fldChar w:fldCharType="separate"/>
          </w:r>
          <w:r w:rsidRPr="00362D62">
            <w:rPr>
              <w:bCs/>
              <w:noProof/>
            </w:rPr>
            <w:t>1</w:t>
          </w:r>
          <w:r w:rsidRPr="00362D62">
            <w:rPr>
              <w:bCs/>
              <w:noProof/>
            </w:rPr>
            <w:fldChar w:fldCharType="end"/>
          </w:r>
          <w:r w:rsidRPr="00362D62">
            <w:rPr>
              <w:noProof/>
            </w:rPr>
            <w:t>-</w:t>
          </w:r>
          <w:r w:rsidRPr="00362D62">
            <w:rPr>
              <w:bCs/>
              <w:noProof/>
            </w:rPr>
            <w:fldChar w:fldCharType="begin"/>
          </w:r>
          <w:r w:rsidRPr="00362D62">
            <w:rPr>
              <w:bCs/>
              <w:noProof/>
            </w:rPr>
            <w:instrText xml:space="preserve"> NUMPAGES  \* Arabic  \* MERGEFORMAT </w:instrText>
          </w:r>
          <w:r w:rsidRPr="00362D62">
            <w:rPr>
              <w:bCs/>
              <w:noProof/>
            </w:rPr>
            <w:fldChar w:fldCharType="separate"/>
          </w:r>
          <w:r w:rsidRPr="00362D62">
            <w:rPr>
              <w:bCs/>
              <w:noProof/>
            </w:rPr>
            <w:t>1</w:t>
          </w:r>
          <w:r w:rsidRPr="00362D62">
            <w:rPr>
              <w:bCs/>
              <w:noProof/>
            </w:rPr>
            <w:fldChar w:fldCharType="end"/>
          </w:r>
        </w:p>
      </w:tc>
    </w:tr>
  </w:tbl>
  <w:p w14:paraId="0F4608FC" w14:textId="77777777" w:rsidR="00FE2AD0" w:rsidRPr="00362D62" w:rsidRDefault="00FE2AD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F5423" w14:textId="77777777" w:rsidR="00FE2AD0" w:rsidRDefault="00FE2AD0" w:rsidP="00FC3907">
      <w:r>
        <w:separator/>
      </w:r>
    </w:p>
  </w:footnote>
  <w:footnote w:type="continuationSeparator" w:id="0">
    <w:p w14:paraId="5E1C9CDA" w14:textId="77777777" w:rsidR="00FE2AD0" w:rsidRDefault="00FE2AD0" w:rsidP="00FC3907">
      <w:r>
        <w:continuationSeparator/>
      </w:r>
    </w:p>
  </w:footnote>
  <w:footnote w:id="1">
    <w:p w14:paraId="2D793BCF" w14:textId="77777777" w:rsidR="00FE2AD0" w:rsidRDefault="00FE2AD0">
      <w:pPr>
        <w:pStyle w:val="FootnoteText"/>
      </w:pPr>
      <w:r>
        <w:rPr>
          <w:rStyle w:val="FootnoteReference"/>
        </w:rPr>
        <w:footnoteRef/>
      </w:r>
      <w:r>
        <w:t xml:space="preserve"> </w:t>
      </w:r>
      <w:r w:rsidRPr="00362D62">
        <w:t>“Sexual orientation” means an individual’s actual or perceived heterosexuality, homosexuality, bisexuality or gender identity, regardless of whether the individual’s gender identity, appearance, expression or behaviors differs from that traditionally associated with the individual’s sex at birth.</w:t>
      </w:r>
    </w:p>
  </w:footnote>
  <w:footnote w:id="2">
    <w:p w14:paraId="1EF8334B" w14:textId="72FE9B5F" w:rsidR="00FE2AD0" w:rsidRPr="00362D62" w:rsidRDefault="00FE2AD0" w:rsidP="00C8148C">
      <w:pPr>
        <w:pStyle w:val="FootnoteText"/>
        <w:spacing w:after="0"/>
      </w:pPr>
      <w:r>
        <w:rPr>
          <w:rStyle w:val="FootnoteReference"/>
        </w:rPr>
        <w:footnoteRef/>
      </w:r>
      <w:r>
        <w:t xml:space="preserve"> </w:t>
      </w:r>
      <w:r w:rsidRPr="00362D62">
        <w:t>“Family or household members” [as defined in ORS 107.705</w:t>
      </w:r>
      <w:r w:rsidR="00312318" w:rsidRPr="00362D62">
        <w:t>.</w:t>
      </w:r>
      <w:r w:rsidRPr="00362D62">
        <w:t>] OR [means any of the following:</w:t>
      </w:r>
    </w:p>
    <w:p w14:paraId="32D4757A" w14:textId="77777777" w:rsidR="00C8148C" w:rsidRPr="00362D62" w:rsidRDefault="00C8148C" w:rsidP="00C8148C">
      <w:pPr>
        <w:pStyle w:val="Level1"/>
        <w:spacing w:after="0"/>
        <w:ind w:left="360" w:hanging="360"/>
        <w:rPr>
          <w:sz w:val="20"/>
        </w:rPr>
      </w:pPr>
      <w:r w:rsidRPr="00362D62">
        <w:rPr>
          <w:sz w:val="20"/>
        </w:rPr>
        <w:t>Spouses;</w:t>
      </w:r>
    </w:p>
    <w:p w14:paraId="1BAB89C3" w14:textId="77777777" w:rsidR="00C8148C" w:rsidRPr="00362D62" w:rsidRDefault="00C8148C" w:rsidP="00C8148C">
      <w:pPr>
        <w:pStyle w:val="Level1"/>
        <w:tabs>
          <w:tab w:val="clear" w:pos="720"/>
        </w:tabs>
        <w:spacing w:after="0"/>
        <w:ind w:left="360" w:hanging="360"/>
        <w:rPr>
          <w:sz w:val="20"/>
        </w:rPr>
      </w:pPr>
      <w:r w:rsidRPr="00362D62">
        <w:rPr>
          <w:sz w:val="20"/>
        </w:rPr>
        <w:t>Former spouses;</w:t>
      </w:r>
    </w:p>
    <w:p w14:paraId="1ED0B969" w14:textId="77777777" w:rsidR="00C8148C" w:rsidRPr="00362D62" w:rsidRDefault="00C8148C" w:rsidP="00C8148C">
      <w:pPr>
        <w:pStyle w:val="Level1"/>
        <w:spacing w:after="0"/>
        <w:ind w:left="360" w:hanging="360"/>
        <w:rPr>
          <w:sz w:val="20"/>
        </w:rPr>
      </w:pPr>
      <w:r w:rsidRPr="00362D62">
        <w:rPr>
          <w:sz w:val="20"/>
        </w:rPr>
        <w:t>Adult persons related by blood, marriage or adoption;</w:t>
      </w:r>
    </w:p>
    <w:p w14:paraId="4865B421" w14:textId="77777777" w:rsidR="00C8148C" w:rsidRPr="00362D62" w:rsidRDefault="00C8148C" w:rsidP="00C8148C">
      <w:pPr>
        <w:pStyle w:val="Level1"/>
        <w:spacing w:after="0"/>
        <w:ind w:left="360" w:hanging="360"/>
        <w:rPr>
          <w:sz w:val="20"/>
        </w:rPr>
      </w:pPr>
      <w:r w:rsidRPr="00362D62">
        <w:rPr>
          <w:sz w:val="20"/>
        </w:rPr>
        <w:t>Persons who are cohabiting or who have cohabited with each other;</w:t>
      </w:r>
    </w:p>
    <w:p w14:paraId="4CBA5B70" w14:textId="77777777" w:rsidR="00312318" w:rsidRPr="00362D62" w:rsidRDefault="00C8148C" w:rsidP="00312318">
      <w:pPr>
        <w:pStyle w:val="Level1"/>
        <w:spacing w:after="0"/>
        <w:ind w:left="360" w:hanging="360"/>
        <w:rPr>
          <w:sz w:val="20"/>
        </w:rPr>
      </w:pPr>
      <w:r w:rsidRPr="00362D62">
        <w:rPr>
          <w:sz w:val="20"/>
        </w:rPr>
        <w:t>Persons who have been involved in a sexually intimate relationship with each other within two years immediately preceding the filing by one of them of a petition under Oregon Revised Statute 107.710;</w:t>
      </w:r>
    </w:p>
    <w:p w14:paraId="50BCD015" w14:textId="4990A297" w:rsidR="00C8148C" w:rsidRPr="00312318" w:rsidRDefault="00C8148C" w:rsidP="00312318">
      <w:pPr>
        <w:pStyle w:val="Level1"/>
        <w:ind w:left="360" w:hanging="360"/>
        <w:rPr>
          <w:sz w:val="20"/>
        </w:rPr>
      </w:pPr>
      <w:r w:rsidRPr="00362D62">
        <w:rPr>
          <w:sz w:val="20"/>
        </w:rPr>
        <w:t>Unmarried parents of a child.]</w:t>
      </w:r>
    </w:p>
  </w:footnote>
  <w:footnote w:id="3">
    <w:p w14:paraId="58141F7D" w14:textId="77777777" w:rsidR="002A297F" w:rsidRDefault="002A297F" w:rsidP="002A297F">
      <w:pPr>
        <w:pStyle w:val="FootnoteText"/>
      </w:pPr>
      <w:r>
        <w:rPr>
          <w:rStyle w:val="FootnoteReference"/>
        </w:rPr>
        <w:footnoteRef/>
      </w:r>
      <w:r>
        <w:t xml:space="preserve"> </w:t>
      </w:r>
      <w:r w:rsidRPr="008033B9">
        <w:t>[Required by ORS 339.356(2)(g). Other bracketed language regarding hazing and menacing exceeds the requirements of ORS 339.356 and is under Board authority ORS 332.107.]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19EB" w14:textId="1B73E9FD" w:rsidR="000C6324" w:rsidRDefault="006A20B1">
    <w:pPr>
      <w:pStyle w:val="Header"/>
    </w:pPr>
    <w:r>
      <w:rPr>
        <w:noProof/>
      </w:rPr>
      <mc:AlternateContent>
        <mc:Choice Requires="wps">
          <w:drawing>
            <wp:anchor distT="0" distB="0" distL="114300" distR="114300" simplePos="0" relativeHeight="251659264" behindDoc="1" locked="0" layoutInCell="1" allowOverlap="1" wp14:anchorId="33D53CC3" wp14:editId="1688E427">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29B68D" w14:textId="77777777" w:rsidR="006A20B1" w:rsidRDefault="006A20B1" w:rsidP="00CD1450">
                          <w:pPr>
                            <w:pStyle w:val="WatermarkSample"/>
                          </w:pPr>
                          <w:r>
                            <w:t>D</w:t>
                          </w:r>
                        </w:p>
                        <w:p w14:paraId="704CEFA0" w14:textId="77777777" w:rsidR="006A20B1" w:rsidRDefault="006A20B1" w:rsidP="004F12F0">
                          <w:pPr>
                            <w:pStyle w:val="WatermarkSample"/>
                            <w:ind w:left="1440"/>
                          </w:pPr>
                          <w:r>
                            <w:t>E</w:t>
                          </w:r>
                        </w:p>
                        <w:p w14:paraId="5291B400" w14:textId="77777777" w:rsidR="006A20B1" w:rsidRDefault="006A20B1" w:rsidP="004F12F0">
                          <w:pPr>
                            <w:pStyle w:val="WatermarkSample"/>
                            <w:ind w:left="2880"/>
                          </w:pPr>
                          <w:r>
                            <w:t>L</w:t>
                          </w:r>
                        </w:p>
                        <w:p w14:paraId="3AB34CFA" w14:textId="77777777" w:rsidR="006A20B1" w:rsidRDefault="006A20B1" w:rsidP="004F12F0">
                          <w:pPr>
                            <w:pStyle w:val="WatermarkSample"/>
                            <w:ind w:left="4320"/>
                          </w:pPr>
                          <w:r>
                            <w:t>E</w:t>
                          </w:r>
                        </w:p>
                        <w:p w14:paraId="0B9CD8A8" w14:textId="77777777" w:rsidR="006A20B1" w:rsidRDefault="006A20B1" w:rsidP="004F12F0">
                          <w:pPr>
                            <w:pStyle w:val="WatermarkSample"/>
                            <w:ind w:left="5760"/>
                          </w:pPr>
                          <w:r>
                            <w:t>T</w:t>
                          </w:r>
                        </w:p>
                        <w:p w14:paraId="1B306399" w14:textId="77777777" w:rsidR="006A20B1" w:rsidRDefault="006A20B1"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D53CC3" id="_x0000_t202" coordsize="21600,21600" o:spt="202" path="m,l,21600r21600,l21600,xe">
              <v:stroke joinstyle="miter"/>
              <v:path gradientshapeok="t" o:connecttype="rect"/>
            </v:shapetype>
            <v:shape id="WatermarkDelete"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YHyjgIAAIA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" filled="f" stroked="f" strokeweight=".5pt">
              <v:textbox style="layout-flow:vertical;mso-layout-flow-alt:bottom-to-top">
                <w:txbxContent>
                  <w:p w14:paraId="1929B68D" w14:textId="77777777" w:rsidR="006A20B1" w:rsidRDefault="006A20B1" w:rsidP="00CD1450">
                    <w:pPr>
                      <w:pStyle w:val="WatermarkSample"/>
                    </w:pPr>
                    <w:r>
                      <w:t>D</w:t>
                    </w:r>
                  </w:p>
                  <w:p w14:paraId="704CEFA0" w14:textId="77777777" w:rsidR="006A20B1" w:rsidRDefault="006A20B1" w:rsidP="004F12F0">
                    <w:pPr>
                      <w:pStyle w:val="WatermarkSample"/>
                      <w:ind w:left="1440"/>
                    </w:pPr>
                    <w:r>
                      <w:t>E</w:t>
                    </w:r>
                  </w:p>
                  <w:p w14:paraId="5291B400" w14:textId="77777777" w:rsidR="006A20B1" w:rsidRDefault="006A20B1" w:rsidP="004F12F0">
                    <w:pPr>
                      <w:pStyle w:val="WatermarkSample"/>
                      <w:ind w:left="2880"/>
                    </w:pPr>
                    <w:r>
                      <w:t>L</w:t>
                    </w:r>
                  </w:p>
                  <w:p w14:paraId="3AB34CFA" w14:textId="77777777" w:rsidR="006A20B1" w:rsidRDefault="006A20B1" w:rsidP="004F12F0">
                    <w:pPr>
                      <w:pStyle w:val="WatermarkSample"/>
                      <w:ind w:left="4320"/>
                    </w:pPr>
                    <w:r>
                      <w:t>E</w:t>
                    </w:r>
                  </w:p>
                  <w:p w14:paraId="0B9CD8A8" w14:textId="77777777" w:rsidR="006A20B1" w:rsidRDefault="006A20B1" w:rsidP="004F12F0">
                    <w:pPr>
                      <w:pStyle w:val="WatermarkSample"/>
                      <w:ind w:left="5760"/>
                    </w:pPr>
                    <w:r>
                      <w:t>T</w:t>
                    </w:r>
                  </w:p>
                  <w:p w14:paraId="1B306399" w14:textId="77777777" w:rsidR="006A20B1" w:rsidRDefault="006A20B1" w:rsidP="004F12F0">
                    <w:pPr>
                      <w:pStyle w:val="WatermarkSample"/>
                      <w:ind w:left="7200"/>
                    </w:pPr>
                    <w:r>
                      <w:t>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Formatting/>
  <w:defaultTabStop w:val="720"/>
  <w:clickAndTypeStyle w:val="PolicyTitleBox"/>
  <w:characterSpacingControl w:val="doNotCompress"/>
  <w:hdrShapeDefaults>
    <o:shapedefaults v:ext="edit" spidmax="921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27B3"/>
    <w:rsid w:val="000143A2"/>
    <w:rsid w:val="000150EA"/>
    <w:rsid w:val="00017254"/>
    <w:rsid w:val="00023CED"/>
    <w:rsid w:val="00026726"/>
    <w:rsid w:val="000376CE"/>
    <w:rsid w:val="00042B1E"/>
    <w:rsid w:val="00045DD4"/>
    <w:rsid w:val="000511CD"/>
    <w:rsid w:val="00052BE8"/>
    <w:rsid w:val="00055D04"/>
    <w:rsid w:val="000577C7"/>
    <w:rsid w:val="000617BB"/>
    <w:rsid w:val="0007087A"/>
    <w:rsid w:val="0007107C"/>
    <w:rsid w:val="00074380"/>
    <w:rsid w:val="00083481"/>
    <w:rsid w:val="00091976"/>
    <w:rsid w:val="00093AF4"/>
    <w:rsid w:val="00093EC6"/>
    <w:rsid w:val="00095F9B"/>
    <w:rsid w:val="00096B9C"/>
    <w:rsid w:val="000A132A"/>
    <w:rsid w:val="000A2FE8"/>
    <w:rsid w:val="000A6A9E"/>
    <w:rsid w:val="000B092A"/>
    <w:rsid w:val="000B4E7B"/>
    <w:rsid w:val="000B75D8"/>
    <w:rsid w:val="000C6324"/>
    <w:rsid w:val="000D2155"/>
    <w:rsid w:val="000D522B"/>
    <w:rsid w:val="000E1FD1"/>
    <w:rsid w:val="000F1F5E"/>
    <w:rsid w:val="000F25DD"/>
    <w:rsid w:val="000F261A"/>
    <w:rsid w:val="000F30CA"/>
    <w:rsid w:val="000F5F5F"/>
    <w:rsid w:val="000F710F"/>
    <w:rsid w:val="000F7910"/>
    <w:rsid w:val="001069BA"/>
    <w:rsid w:val="00123136"/>
    <w:rsid w:val="001238C4"/>
    <w:rsid w:val="00125E1F"/>
    <w:rsid w:val="001353F1"/>
    <w:rsid w:val="00137065"/>
    <w:rsid w:val="00145359"/>
    <w:rsid w:val="001479B1"/>
    <w:rsid w:val="00150B67"/>
    <w:rsid w:val="00151EC6"/>
    <w:rsid w:val="00156EA7"/>
    <w:rsid w:val="00162A04"/>
    <w:rsid w:val="00173B0D"/>
    <w:rsid w:val="0018025F"/>
    <w:rsid w:val="001821A3"/>
    <w:rsid w:val="001920CB"/>
    <w:rsid w:val="001A53F4"/>
    <w:rsid w:val="001C1D43"/>
    <w:rsid w:val="001C3978"/>
    <w:rsid w:val="001C5C15"/>
    <w:rsid w:val="001D510B"/>
    <w:rsid w:val="001D797E"/>
    <w:rsid w:val="001E1260"/>
    <w:rsid w:val="001E7AE7"/>
    <w:rsid w:val="001F2E98"/>
    <w:rsid w:val="001F4D2D"/>
    <w:rsid w:val="0021369D"/>
    <w:rsid w:val="00217190"/>
    <w:rsid w:val="00224022"/>
    <w:rsid w:val="00225903"/>
    <w:rsid w:val="00227B0C"/>
    <w:rsid w:val="00227EBC"/>
    <w:rsid w:val="002302D5"/>
    <w:rsid w:val="00235355"/>
    <w:rsid w:val="00246025"/>
    <w:rsid w:val="00246AC0"/>
    <w:rsid w:val="00271FEC"/>
    <w:rsid w:val="0028031C"/>
    <w:rsid w:val="00280B93"/>
    <w:rsid w:val="002821D2"/>
    <w:rsid w:val="00284A5E"/>
    <w:rsid w:val="00286D2D"/>
    <w:rsid w:val="002A0021"/>
    <w:rsid w:val="002A297F"/>
    <w:rsid w:val="002A2C38"/>
    <w:rsid w:val="002A7657"/>
    <w:rsid w:val="002B30E6"/>
    <w:rsid w:val="002C4F4A"/>
    <w:rsid w:val="002C77C7"/>
    <w:rsid w:val="002D042D"/>
    <w:rsid w:val="002D6F96"/>
    <w:rsid w:val="002D7543"/>
    <w:rsid w:val="002E4E9F"/>
    <w:rsid w:val="002F4D33"/>
    <w:rsid w:val="002F7C67"/>
    <w:rsid w:val="00301E23"/>
    <w:rsid w:val="00305489"/>
    <w:rsid w:val="00306B03"/>
    <w:rsid w:val="00311B2D"/>
    <w:rsid w:val="00312318"/>
    <w:rsid w:val="003233D7"/>
    <w:rsid w:val="003234E0"/>
    <w:rsid w:val="0033420F"/>
    <w:rsid w:val="00346329"/>
    <w:rsid w:val="00354BAF"/>
    <w:rsid w:val="00355C5E"/>
    <w:rsid w:val="00362D62"/>
    <w:rsid w:val="00363573"/>
    <w:rsid w:val="00363AE7"/>
    <w:rsid w:val="00367B06"/>
    <w:rsid w:val="00375432"/>
    <w:rsid w:val="003804C0"/>
    <w:rsid w:val="003853E9"/>
    <w:rsid w:val="00385E10"/>
    <w:rsid w:val="003915B0"/>
    <w:rsid w:val="003B3329"/>
    <w:rsid w:val="003C1C15"/>
    <w:rsid w:val="003D5E45"/>
    <w:rsid w:val="003E6E0C"/>
    <w:rsid w:val="003F7B66"/>
    <w:rsid w:val="00401F8D"/>
    <w:rsid w:val="004052C0"/>
    <w:rsid w:val="00415660"/>
    <w:rsid w:val="00415A69"/>
    <w:rsid w:val="00416110"/>
    <w:rsid w:val="00423D23"/>
    <w:rsid w:val="00434510"/>
    <w:rsid w:val="004347FA"/>
    <w:rsid w:val="00435BF5"/>
    <w:rsid w:val="00440997"/>
    <w:rsid w:val="00443C38"/>
    <w:rsid w:val="00453EF5"/>
    <w:rsid w:val="00455739"/>
    <w:rsid w:val="00456403"/>
    <w:rsid w:val="00456577"/>
    <w:rsid w:val="00472B26"/>
    <w:rsid w:val="00480493"/>
    <w:rsid w:val="00484B66"/>
    <w:rsid w:val="00490A75"/>
    <w:rsid w:val="0049277F"/>
    <w:rsid w:val="00494174"/>
    <w:rsid w:val="004A490E"/>
    <w:rsid w:val="004C0532"/>
    <w:rsid w:val="004C1EE4"/>
    <w:rsid w:val="004C2F7D"/>
    <w:rsid w:val="004C46A5"/>
    <w:rsid w:val="004D4BC5"/>
    <w:rsid w:val="004D55EA"/>
    <w:rsid w:val="004E3582"/>
    <w:rsid w:val="004F4A3D"/>
    <w:rsid w:val="004F53EB"/>
    <w:rsid w:val="005130E3"/>
    <w:rsid w:val="0051750D"/>
    <w:rsid w:val="00524313"/>
    <w:rsid w:val="00524F11"/>
    <w:rsid w:val="005342BD"/>
    <w:rsid w:val="00536354"/>
    <w:rsid w:val="00536358"/>
    <w:rsid w:val="00543474"/>
    <w:rsid w:val="00550B4D"/>
    <w:rsid w:val="00550F2A"/>
    <w:rsid w:val="00555562"/>
    <w:rsid w:val="00557E6B"/>
    <w:rsid w:val="00573A5C"/>
    <w:rsid w:val="005745D2"/>
    <w:rsid w:val="00596F44"/>
    <w:rsid w:val="005A0A48"/>
    <w:rsid w:val="005A4EEB"/>
    <w:rsid w:val="005A6BFA"/>
    <w:rsid w:val="005B1C15"/>
    <w:rsid w:val="005C1564"/>
    <w:rsid w:val="005C7A62"/>
    <w:rsid w:val="005D67B4"/>
    <w:rsid w:val="005E06B3"/>
    <w:rsid w:val="005E3F0A"/>
    <w:rsid w:val="005F3316"/>
    <w:rsid w:val="00602FE1"/>
    <w:rsid w:val="0060463A"/>
    <w:rsid w:val="0061672C"/>
    <w:rsid w:val="00620A00"/>
    <w:rsid w:val="00621D2B"/>
    <w:rsid w:val="006257C3"/>
    <w:rsid w:val="0062603D"/>
    <w:rsid w:val="00634B0E"/>
    <w:rsid w:val="00643B1D"/>
    <w:rsid w:val="00645006"/>
    <w:rsid w:val="0065005F"/>
    <w:rsid w:val="00660AC5"/>
    <w:rsid w:val="00662E7C"/>
    <w:rsid w:val="006705C2"/>
    <w:rsid w:val="006728D3"/>
    <w:rsid w:val="00673052"/>
    <w:rsid w:val="00675D06"/>
    <w:rsid w:val="00682877"/>
    <w:rsid w:val="00684386"/>
    <w:rsid w:val="00685AAF"/>
    <w:rsid w:val="00687D76"/>
    <w:rsid w:val="006929A6"/>
    <w:rsid w:val="00695030"/>
    <w:rsid w:val="00695431"/>
    <w:rsid w:val="0069687A"/>
    <w:rsid w:val="006A0245"/>
    <w:rsid w:val="006A20B1"/>
    <w:rsid w:val="006B088B"/>
    <w:rsid w:val="006B7DC8"/>
    <w:rsid w:val="006C2C78"/>
    <w:rsid w:val="006C43F3"/>
    <w:rsid w:val="006D0F00"/>
    <w:rsid w:val="006D4174"/>
    <w:rsid w:val="006D4697"/>
    <w:rsid w:val="006D6F45"/>
    <w:rsid w:val="006E544D"/>
    <w:rsid w:val="006E5941"/>
    <w:rsid w:val="006E71CD"/>
    <w:rsid w:val="006E7CE3"/>
    <w:rsid w:val="00700E92"/>
    <w:rsid w:val="00715941"/>
    <w:rsid w:val="0072773B"/>
    <w:rsid w:val="0073390E"/>
    <w:rsid w:val="00734CF6"/>
    <w:rsid w:val="00737885"/>
    <w:rsid w:val="00737933"/>
    <w:rsid w:val="007405D2"/>
    <w:rsid w:val="007411F7"/>
    <w:rsid w:val="007436EC"/>
    <w:rsid w:val="007437CB"/>
    <w:rsid w:val="007443E2"/>
    <w:rsid w:val="007519A6"/>
    <w:rsid w:val="00752B2D"/>
    <w:rsid w:val="00754B98"/>
    <w:rsid w:val="007638AD"/>
    <w:rsid w:val="00763A99"/>
    <w:rsid w:val="007744FD"/>
    <w:rsid w:val="00774EAD"/>
    <w:rsid w:val="00782930"/>
    <w:rsid w:val="00784DE2"/>
    <w:rsid w:val="007868AD"/>
    <w:rsid w:val="00786CDF"/>
    <w:rsid w:val="00787BE1"/>
    <w:rsid w:val="007A0E9B"/>
    <w:rsid w:val="007A3694"/>
    <w:rsid w:val="007A5AA9"/>
    <w:rsid w:val="007A7F92"/>
    <w:rsid w:val="007B228A"/>
    <w:rsid w:val="007B384B"/>
    <w:rsid w:val="007B5F09"/>
    <w:rsid w:val="007B6754"/>
    <w:rsid w:val="007D02D3"/>
    <w:rsid w:val="007D2319"/>
    <w:rsid w:val="007D52A4"/>
    <w:rsid w:val="007E3300"/>
    <w:rsid w:val="007E4701"/>
    <w:rsid w:val="007F0455"/>
    <w:rsid w:val="007F6200"/>
    <w:rsid w:val="007F7ED0"/>
    <w:rsid w:val="008073B2"/>
    <w:rsid w:val="008152CF"/>
    <w:rsid w:val="00817F57"/>
    <w:rsid w:val="00824B84"/>
    <w:rsid w:val="00830ED8"/>
    <w:rsid w:val="00835AD6"/>
    <w:rsid w:val="008363E2"/>
    <w:rsid w:val="00844CD8"/>
    <w:rsid w:val="0085006D"/>
    <w:rsid w:val="00850A44"/>
    <w:rsid w:val="00870BED"/>
    <w:rsid w:val="00874D21"/>
    <w:rsid w:val="00882C0D"/>
    <w:rsid w:val="00890313"/>
    <w:rsid w:val="00892303"/>
    <w:rsid w:val="008A156E"/>
    <w:rsid w:val="008A2218"/>
    <w:rsid w:val="008A2D8F"/>
    <w:rsid w:val="008A3BAF"/>
    <w:rsid w:val="008A7395"/>
    <w:rsid w:val="008B0925"/>
    <w:rsid w:val="008B6FAC"/>
    <w:rsid w:val="008B730B"/>
    <w:rsid w:val="008C67F5"/>
    <w:rsid w:val="008D663E"/>
    <w:rsid w:val="008E1CAE"/>
    <w:rsid w:val="008F4D57"/>
    <w:rsid w:val="00900743"/>
    <w:rsid w:val="0090336F"/>
    <w:rsid w:val="00907FA5"/>
    <w:rsid w:val="00912BAC"/>
    <w:rsid w:val="00923DFB"/>
    <w:rsid w:val="00923E19"/>
    <w:rsid w:val="00925E0F"/>
    <w:rsid w:val="009317A1"/>
    <w:rsid w:val="00940E79"/>
    <w:rsid w:val="009510E8"/>
    <w:rsid w:val="009510FB"/>
    <w:rsid w:val="00952233"/>
    <w:rsid w:val="00956B2E"/>
    <w:rsid w:val="00963266"/>
    <w:rsid w:val="00972985"/>
    <w:rsid w:val="00976D56"/>
    <w:rsid w:val="00976F42"/>
    <w:rsid w:val="00977D62"/>
    <w:rsid w:val="009816CA"/>
    <w:rsid w:val="00982B4E"/>
    <w:rsid w:val="009854C4"/>
    <w:rsid w:val="009A42F6"/>
    <w:rsid w:val="009B1678"/>
    <w:rsid w:val="009C4D2A"/>
    <w:rsid w:val="009D427B"/>
    <w:rsid w:val="009D60C5"/>
    <w:rsid w:val="009D6C26"/>
    <w:rsid w:val="009F2011"/>
    <w:rsid w:val="009F24C0"/>
    <w:rsid w:val="009F4F41"/>
    <w:rsid w:val="009F694C"/>
    <w:rsid w:val="009F7274"/>
    <w:rsid w:val="00A15392"/>
    <w:rsid w:val="00A20986"/>
    <w:rsid w:val="00A268EF"/>
    <w:rsid w:val="00A312B5"/>
    <w:rsid w:val="00A61DAA"/>
    <w:rsid w:val="00A7204A"/>
    <w:rsid w:val="00A84AB5"/>
    <w:rsid w:val="00A86D8C"/>
    <w:rsid w:val="00A92FD8"/>
    <w:rsid w:val="00A967F8"/>
    <w:rsid w:val="00AA3095"/>
    <w:rsid w:val="00AB075E"/>
    <w:rsid w:val="00AC39CC"/>
    <w:rsid w:val="00AC3EDD"/>
    <w:rsid w:val="00AC5141"/>
    <w:rsid w:val="00AC6972"/>
    <w:rsid w:val="00AD7B76"/>
    <w:rsid w:val="00AE1154"/>
    <w:rsid w:val="00AE55BF"/>
    <w:rsid w:val="00AF27A2"/>
    <w:rsid w:val="00AF3E4D"/>
    <w:rsid w:val="00AF6F27"/>
    <w:rsid w:val="00B01ACE"/>
    <w:rsid w:val="00B04433"/>
    <w:rsid w:val="00B13584"/>
    <w:rsid w:val="00B239E5"/>
    <w:rsid w:val="00B24778"/>
    <w:rsid w:val="00B3442C"/>
    <w:rsid w:val="00B36427"/>
    <w:rsid w:val="00B3760B"/>
    <w:rsid w:val="00B4113F"/>
    <w:rsid w:val="00B414FF"/>
    <w:rsid w:val="00B43523"/>
    <w:rsid w:val="00B44352"/>
    <w:rsid w:val="00B637AA"/>
    <w:rsid w:val="00B659D3"/>
    <w:rsid w:val="00B70CD3"/>
    <w:rsid w:val="00B753A2"/>
    <w:rsid w:val="00B76A55"/>
    <w:rsid w:val="00B93330"/>
    <w:rsid w:val="00B94A90"/>
    <w:rsid w:val="00BA02CC"/>
    <w:rsid w:val="00BA54B2"/>
    <w:rsid w:val="00BB2371"/>
    <w:rsid w:val="00BB41EA"/>
    <w:rsid w:val="00BC6D2F"/>
    <w:rsid w:val="00BD65DF"/>
    <w:rsid w:val="00BE44C8"/>
    <w:rsid w:val="00BE450C"/>
    <w:rsid w:val="00BE5ECB"/>
    <w:rsid w:val="00BE5F5D"/>
    <w:rsid w:val="00BF1386"/>
    <w:rsid w:val="00C01EF6"/>
    <w:rsid w:val="00C04F63"/>
    <w:rsid w:val="00C06F72"/>
    <w:rsid w:val="00C21544"/>
    <w:rsid w:val="00C21664"/>
    <w:rsid w:val="00C22A97"/>
    <w:rsid w:val="00C25368"/>
    <w:rsid w:val="00C26F72"/>
    <w:rsid w:val="00C33AB4"/>
    <w:rsid w:val="00C42489"/>
    <w:rsid w:val="00C430FD"/>
    <w:rsid w:val="00C447AF"/>
    <w:rsid w:val="00C50E61"/>
    <w:rsid w:val="00C57DB2"/>
    <w:rsid w:val="00C67DFB"/>
    <w:rsid w:val="00C71516"/>
    <w:rsid w:val="00C71AA5"/>
    <w:rsid w:val="00C75A19"/>
    <w:rsid w:val="00C8148C"/>
    <w:rsid w:val="00C827DD"/>
    <w:rsid w:val="00C82AB8"/>
    <w:rsid w:val="00CA4443"/>
    <w:rsid w:val="00CB18D4"/>
    <w:rsid w:val="00CB3441"/>
    <w:rsid w:val="00CB5D00"/>
    <w:rsid w:val="00CC11B1"/>
    <w:rsid w:val="00CC2690"/>
    <w:rsid w:val="00CC6DD2"/>
    <w:rsid w:val="00CC7D46"/>
    <w:rsid w:val="00CD6739"/>
    <w:rsid w:val="00CE3549"/>
    <w:rsid w:val="00CE482D"/>
    <w:rsid w:val="00CF446B"/>
    <w:rsid w:val="00CF6EF5"/>
    <w:rsid w:val="00D01C38"/>
    <w:rsid w:val="00D03BD2"/>
    <w:rsid w:val="00D11551"/>
    <w:rsid w:val="00D13B21"/>
    <w:rsid w:val="00D210B2"/>
    <w:rsid w:val="00D22713"/>
    <w:rsid w:val="00D33F63"/>
    <w:rsid w:val="00D3462F"/>
    <w:rsid w:val="00D37878"/>
    <w:rsid w:val="00D4380E"/>
    <w:rsid w:val="00D4493C"/>
    <w:rsid w:val="00D51FB2"/>
    <w:rsid w:val="00D55ABF"/>
    <w:rsid w:val="00D60FB0"/>
    <w:rsid w:val="00D65180"/>
    <w:rsid w:val="00D70A7A"/>
    <w:rsid w:val="00D7233F"/>
    <w:rsid w:val="00D7490B"/>
    <w:rsid w:val="00D82C4F"/>
    <w:rsid w:val="00D85D37"/>
    <w:rsid w:val="00D87B51"/>
    <w:rsid w:val="00D93A83"/>
    <w:rsid w:val="00DA55F4"/>
    <w:rsid w:val="00DB0595"/>
    <w:rsid w:val="00DC1814"/>
    <w:rsid w:val="00DD4540"/>
    <w:rsid w:val="00DE0C18"/>
    <w:rsid w:val="00DF0AE6"/>
    <w:rsid w:val="00DF3973"/>
    <w:rsid w:val="00DF464B"/>
    <w:rsid w:val="00E0006B"/>
    <w:rsid w:val="00E009DD"/>
    <w:rsid w:val="00E07338"/>
    <w:rsid w:val="00E14D12"/>
    <w:rsid w:val="00E15ECB"/>
    <w:rsid w:val="00E2090F"/>
    <w:rsid w:val="00E265BF"/>
    <w:rsid w:val="00E2780A"/>
    <w:rsid w:val="00E34F37"/>
    <w:rsid w:val="00E37691"/>
    <w:rsid w:val="00E41975"/>
    <w:rsid w:val="00E53D03"/>
    <w:rsid w:val="00E56759"/>
    <w:rsid w:val="00E60543"/>
    <w:rsid w:val="00E616A1"/>
    <w:rsid w:val="00E67AB7"/>
    <w:rsid w:val="00E70BB8"/>
    <w:rsid w:val="00E71A63"/>
    <w:rsid w:val="00E727A4"/>
    <w:rsid w:val="00E775F5"/>
    <w:rsid w:val="00E77872"/>
    <w:rsid w:val="00E81F69"/>
    <w:rsid w:val="00E8441F"/>
    <w:rsid w:val="00E908E7"/>
    <w:rsid w:val="00E9130E"/>
    <w:rsid w:val="00E97752"/>
    <w:rsid w:val="00EA05AE"/>
    <w:rsid w:val="00EA0B48"/>
    <w:rsid w:val="00EA1582"/>
    <w:rsid w:val="00EA3062"/>
    <w:rsid w:val="00EC519B"/>
    <w:rsid w:val="00EE49D0"/>
    <w:rsid w:val="00EE693E"/>
    <w:rsid w:val="00EF573E"/>
    <w:rsid w:val="00F166D4"/>
    <w:rsid w:val="00F16CA1"/>
    <w:rsid w:val="00F33F97"/>
    <w:rsid w:val="00F3407A"/>
    <w:rsid w:val="00F36607"/>
    <w:rsid w:val="00F41519"/>
    <w:rsid w:val="00F45027"/>
    <w:rsid w:val="00F45D0D"/>
    <w:rsid w:val="00F704CA"/>
    <w:rsid w:val="00F7153D"/>
    <w:rsid w:val="00F774CC"/>
    <w:rsid w:val="00F80E45"/>
    <w:rsid w:val="00F91523"/>
    <w:rsid w:val="00F94BBC"/>
    <w:rsid w:val="00FA481C"/>
    <w:rsid w:val="00FB3011"/>
    <w:rsid w:val="00FB52F8"/>
    <w:rsid w:val="00FB7DE6"/>
    <w:rsid w:val="00FC3907"/>
    <w:rsid w:val="00FD07C7"/>
    <w:rsid w:val="00FD60A2"/>
    <w:rsid w:val="00FE1665"/>
    <w:rsid w:val="00FE2AD0"/>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7D4062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FE2AD0"/>
    <w:rPr>
      <w:color w:val="0000FF"/>
      <w:u w:val="single"/>
    </w:rPr>
  </w:style>
  <w:style w:type="paragraph" w:styleId="BalloonText">
    <w:name w:val="Balloon Text"/>
    <w:basedOn w:val="Normal"/>
    <w:link w:val="BalloonTextChar"/>
    <w:uiPriority w:val="99"/>
    <w:semiHidden/>
    <w:unhideWhenUsed/>
    <w:rsid w:val="00C22A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A97"/>
    <w:rPr>
      <w:rFonts w:ascii="Segoe UI" w:hAnsi="Segoe UI" w:cs="Segoe UI"/>
      <w:sz w:val="18"/>
      <w:szCs w:val="18"/>
    </w:rPr>
  </w:style>
  <w:style w:type="character" w:styleId="Hyperlink">
    <w:name w:val="Hyperlink"/>
    <w:basedOn w:val="DefaultParagraphFont"/>
    <w:uiPriority w:val="99"/>
    <w:unhideWhenUsed/>
    <w:rsid w:val="00B414FF"/>
    <w:rPr>
      <w:color w:val="0563C1" w:themeColor="hyperlink"/>
      <w:u w:val="single"/>
    </w:rPr>
  </w:style>
  <w:style w:type="character" w:styleId="UnresolvedMention">
    <w:name w:val="Unresolved Mention"/>
    <w:basedOn w:val="DefaultParagraphFont"/>
    <w:uiPriority w:val="99"/>
    <w:semiHidden/>
    <w:unhideWhenUsed/>
    <w:rsid w:val="00B414FF"/>
    <w:rPr>
      <w:color w:val="605E5C"/>
      <w:shd w:val="clear" w:color="auto" w:fill="E1DFDD"/>
    </w:rPr>
  </w:style>
  <w:style w:type="paragraph" w:customStyle="1" w:styleId="WatermarkSample">
    <w:name w:val="_WatermarkSample"/>
    <w:basedOn w:val="Normal"/>
    <w:rsid w:val="006A20B1"/>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olicy.osba.org/orsredir.asp?ors=ors-332" TargetMode="External"/><Relationship Id="rId18"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policy.osba.org/orsredir.asp?ors=ors-174" TargetMode="External"/><Relationship Id="rId17" Type="http://schemas.openxmlformats.org/officeDocument/2006/relationships/hyperlink" Target="http://policy.osba.org/orsredir.asp?ors=ors-33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licy.osba.org/orsredir.asp?ors=ors-16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footer" Target="footer3.xml"/><Relationship Id="rId10" Type="http://schemas.openxmlformats.org/officeDocument/2006/relationships/hyperlink" Target="http://policy.osba.org/orsredir.asp?ors=ors-166" TargetMode="External"/><Relationship Id="rId19"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olicy.osba.org/orsredir.asp?ors=ors-332" TargetMode="External"/><Relationship Id="rId22" Type="http://schemas.openxmlformats.org/officeDocument/2006/relationships/hyperlink" Target="http://policy.osba.org/orsredir.asp?ors=oar-5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FEA79-92E0-415A-B474-24E1E2F6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4</Pages>
  <Words>1437</Words>
  <Characters>8194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Policy - Harassment/Intimidation/Bullying/Cyberbullying/Teen Dating Violence/_x000b_Domestic Violence – Student **</vt:lpstr>
    </vt:vector>
  </TitlesOfParts>
  <Company>OSBA</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JFCF - Harassment, Intimidation, Bullying, Cyberbullying, Teen Dating _x000d_
Violence, and Domestic Violence – Student**</dc:title>
  <dc:subject>District Board Policy</dc:subject>
  <dc:creator>Oregon School Boards Association</dc:creator>
  <cp:keywords/>
  <dc:description/>
  <cp:lastModifiedBy>Leslie Fisher</cp:lastModifiedBy>
  <cp:revision>177</cp:revision>
  <cp:lastPrinted>2019-01-11T18:18:00Z</cp:lastPrinted>
  <dcterms:created xsi:type="dcterms:W3CDTF">2018-03-09T20:50:00Z</dcterms:created>
  <dcterms:modified xsi:type="dcterms:W3CDTF">2021-07-15T16:48:00Z</dcterms:modified>
</cp:coreProperties>
</file>