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977D6" w14:textId="77777777" w:rsidR="002C5492" w:rsidRPr="00316EC1" w:rsidRDefault="002C5492" w:rsidP="00227393">
      <w:pPr>
        <w:pStyle w:val="PolicyTitleBox"/>
      </w:pPr>
      <w:r w:rsidRPr="00316EC1">
        <w:t>OSBA Model Sample Policy</w:t>
      </w:r>
    </w:p>
    <w:p w14:paraId="37D71486" w14:textId="77777777" w:rsidR="00CC7D46" w:rsidRPr="00316EC1" w:rsidRDefault="00CC7D46" w:rsidP="00227393"/>
    <w:p w14:paraId="513B32F8" w14:textId="77777777" w:rsidR="001E1260" w:rsidRPr="00316EC1" w:rsidRDefault="001E1260" w:rsidP="00227393">
      <w:pPr>
        <w:pStyle w:val="PolicyCode"/>
      </w:pPr>
      <w:r w:rsidRPr="00316EC1">
        <w:t>Code:</w:t>
      </w:r>
      <w:r w:rsidRPr="00316EC1">
        <w:tab/>
      </w:r>
      <w:r w:rsidR="002B28DF" w:rsidRPr="00316EC1">
        <w:t>JECB</w:t>
      </w:r>
    </w:p>
    <w:p w14:paraId="671F2936" w14:textId="7F0E30BF" w:rsidR="001E1260" w:rsidRPr="00316EC1" w:rsidRDefault="001E1260" w:rsidP="00227393">
      <w:pPr>
        <w:pStyle w:val="PolicyCode"/>
      </w:pPr>
      <w:r w:rsidRPr="00316EC1">
        <w:t>Adopted:</w:t>
      </w:r>
      <w:r w:rsidRPr="00316EC1">
        <w:tab/>
      </w:r>
    </w:p>
    <w:p w14:paraId="6222D9EE" w14:textId="77777777" w:rsidR="008B7E7E" w:rsidRPr="00316EC1" w:rsidRDefault="008B7E7E" w:rsidP="00F951CF"/>
    <w:p w14:paraId="1F36016B" w14:textId="64F33AC7" w:rsidR="00EF573E" w:rsidRPr="00316EC1" w:rsidRDefault="002B28DF" w:rsidP="00227393">
      <w:pPr>
        <w:pStyle w:val="PolicyTitle"/>
      </w:pPr>
      <w:r w:rsidRPr="00316EC1">
        <w:t>Admission of Nonresident Students</w:t>
      </w:r>
    </w:p>
    <w:p w14:paraId="78393EDE" w14:textId="77777777" w:rsidR="00752AEA" w:rsidRDefault="00752AEA" w:rsidP="00227393">
      <w:pPr>
        <w:pStyle w:val="PolicyBodyText"/>
      </w:pPr>
    </w:p>
    <w:p w14:paraId="580EF792" w14:textId="0E7D4E80" w:rsidR="002B28DF" w:rsidRPr="00316EC1" w:rsidRDefault="002B28DF" w:rsidP="00227393">
      <w:pPr>
        <w:pStyle w:val="PolicyBodyText"/>
      </w:pPr>
      <w:r w:rsidRPr="00316EC1">
        <w:t>The district may enroll nonresident students as follows:</w:t>
      </w:r>
    </w:p>
    <w:p w14:paraId="513C8829" w14:textId="77777777" w:rsidR="002B28DF" w:rsidRPr="00316EC1" w:rsidRDefault="002B28DF" w:rsidP="00227393">
      <w:pPr>
        <w:pStyle w:val="PolicyBodyText"/>
      </w:pPr>
    </w:p>
    <w:p w14:paraId="1A406ADB" w14:textId="77777777" w:rsidR="002B28DF" w:rsidRPr="00316EC1" w:rsidRDefault="002B28DF" w:rsidP="00227393">
      <w:pPr>
        <w:pStyle w:val="Level1"/>
      </w:pPr>
      <w:r w:rsidRPr="00316EC1">
        <w:t>Interdistrict Transfer Agreement. By written consent of the affected school boards, the student becomes a resident student of the attending district thereby allowing the attending district to receive State School Fund moneys;</w:t>
      </w:r>
    </w:p>
    <w:p w14:paraId="01A2C279" w14:textId="77777777" w:rsidR="002B28DF" w:rsidRPr="00316EC1" w:rsidRDefault="002B28DF" w:rsidP="00227393">
      <w:pPr>
        <w:pStyle w:val="Level1"/>
      </w:pPr>
      <w:r w:rsidRPr="00316EC1">
        <w:t>Tuition Paying Student. By admitting nonresident student with tuition, whereby neither affected districts are eligible for State School Fund moneys;</w:t>
      </w:r>
    </w:p>
    <w:p w14:paraId="5C0B586C" w14:textId="77777777" w:rsidR="002B28DF" w:rsidRPr="00316EC1" w:rsidRDefault="002B28DF" w:rsidP="00227393">
      <w:pPr>
        <w:pStyle w:val="Level1"/>
      </w:pPr>
      <w:r w:rsidRPr="00316EC1">
        <w:t xml:space="preserve">Court Placement. If a juvenile court determines it is in the student’s best interest, a student placed in a substitute care program outside the district will continue to be considered a resident student and allowed to attend the school the student attended prior to placement. The public agency placing the student in a substitute care program will be responsible for the transportation of the </w:t>
      </w:r>
      <w:proofErr w:type="gramStart"/>
      <w:r w:rsidRPr="00316EC1">
        <w:t>student, if</w:t>
      </w:r>
      <w:proofErr w:type="gramEnd"/>
      <w:r w:rsidRPr="00316EC1">
        <w:t xml:space="preserve"> public agency funds are available.</w:t>
      </w:r>
    </w:p>
    <w:p w14:paraId="3A4C177B" w14:textId="77777777" w:rsidR="002B28DF" w:rsidRPr="00316EC1" w:rsidRDefault="002B28DF" w:rsidP="00227393">
      <w:pPr>
        <w:pStyle w:val="PolicyBodyText"/>
      </w:pPr>
      <w:r w:rsidRPr="00316EC1">
        <w:t>The Board shall deny regular school admission to nonresident students who are under expulsion from another district for a weapons policy violation. The Board [will] [will not] [may, based on district criteria,] deny [regular school] [alternative education program] admission to nonresident students who are under expulsion from another district for reasons other than a weapons policy violation.</w:t>
      </w:r>
    </w:p>
    <w:p w14:paraId="142D8C5F" w14:textId="77777777" w:rsidR="002B28DF" w:rsidRPr="00316EC1" w:rsidRDefault="002B28DF" w:rsidP="00227393">
      <w:pPr>
        <w:pStyle w:val="PolicyBodyText"/>
      </w:pPr>
    </w:p>
    <w:p w14:paraId="326EE550" w14:textId="77777777" w:rsidR="002B28DF" w:rsidRPr="00316EC1" w:rsidRDefault="002B28DF" w:rsidP="00227393">
      <w:pPr>
        <w:pStyle w:val="PolicyBodyText"/>
        <w:rPr>
          <w:b/>
        </w:rPr>
      </w:pPr>
      <w:r w:rsidRPr="00316EC1">
        <w:rPr>
          <w:b/>
        </w:rPr>
        <w:t>Consent for Admission of a Nonresident Student by Interdistrict Transfer or Consent for Admission of a Tuition Paying Student</w:t>
      </w:r>
    </w:p>
    <w:p w14:paraId="63600EDE" w14:textId="77777777" w:rsidR="002B28DF" w:rsidRPr="00316EC1" w:rsidRDefault="002B28DF" w:rsidP="00227393">
      <w:pPr>
        <w:pStyle w:val="PolicyBodyText"/>
      </w:pPr>
    </w:p>
    <w:p w14:paraId="39FDC414" w14:textId="77777777" w:rsidR="002B28DF" w:rsidRPr="00316EC1" w:rsidRDefault="002B28DF" w:rsidP="00227393">
      <w:pPr>
        <w:pStyle w:val="PolicyBodyText"/>
      </w:pPr>
    </w:p>
    <w:p w14:paraId="5757FE1E" w14:textId="69C4792B" w:rsidR="002B28DF" w:rsidRPr="00316EC1" w:rsidRDefault="002B28DF" w:rsidP="00227393">
      <w:pPr>
        <w:pStyle w:val="PolicyBodyText"/>
      </w:pPr>
      <w:r w:rsidRPr="00316EC1">
        <w:t xml:space="preserve">The Board may not consider nor ask for any information from the student about race, religion, sex, sexual orientation, </w:t>
      </w:r>
      <w:r w:rsidR="00DB49B6" w:rsidRPr="00B33BD3">
        <w:rPr>
          <w:highlight w:val="darkGray"/>
        </w:rPr>
        <w:t xml:space="preserve">gender identity, </w:t>
      </w:r>
      <w:r w:rsidRPr="00316EC1">
        <w:t>ethnicity, national origin, disability, health, whether a student has an individualized education program (IEP) or the terms of that IEP, identified as talented and gifted, income level, residence, proficiency in English, athletic ability</w:t>
      </w:r>
      <w:r w:rsidR="00BE7F73" w:rsidRPr="00316EC1">
        <w:t>,</w:t>
      </w:r>
      <w:r w:rsidRPr="00316EC1">
        <w:t xml:space="preserve"> or academic records. The Board may not request or require the student to participate in an interview, tour any of the schools or facilities, or otherwise meet with any representatives of the school or district prior to the district deciding whether to give consent.</w:t>
      </w:r>
    </w:p>
    <w:p w14:paraId="65BCB058" w14:textId="77777777" w:rsidR="002B28DF" w:rsidRPr="00316EC1" w:rsidRDefault="002B28DF" w:rsidP="00227393">
      <w:pPr>
        <w:pStyle w:val="PolicyBodyText"/>
      </w:pPr>
    </w:p>
    <w:p w14:paraId="12C60BF2" w14:textId="6555A8E8" w:rsidR="002B28DF" w:rsidRPr="00316EC1" w:rsidRDefault="002B28DF" w:rsidP="00227393">
      <w:pPr>
        <w:pStyle w:val="PolicyBodyText"/>
      </w:pPr>
      <w:r w:rsidRPr="00316EC1">
        <w:t xml:space="preserve">The Board may </w:t>
      </w:r>
      <w:r w:rsidR="0031167D" w:rsidRPr="00CE5157">
        <w:rPr>
          <w:highlight w:val="darkGray"/>
        </w:rPr>
        <w:t xml:space="preserve">only </w:t>
      </w:r>
      <w:r w:rsidRPr="00316EC1">
        <w:t>ask for the student’s name, contact information, date of birth, grade level, whether the student may be given priority on consent for admission (</w:t>
      </w:r>
      <w:r w:rsidR="00782CED" w:rsidRPr="00316EC1">
        <w:t>see the following paragraph for priorities</w:t>
      </w:r>
      <w:r w:rsidRPr="00316EC1">
        <w:t>), information about which schools the student prefers to attend</w:t>
      </w:r>
      <w:r w:rsidR="00BE7F73" w:rsidRPr="00316EC1">
        <w:t>,</w:t>
      </w:r>
      <w:r w:rsidRPr="00316EC1">
        <w:t xml:space="preserve"> and whether the student is currently expelled.</w:t>
      </w:r>
    </w:p>
    <w:p w14:paraId="52C4EC93" w14:textId="77777777" w:rsidR="002B28DF" w:rsidRPr="00316EC1" w:rsidRDefault="002B28DF" w:rsidP="00227393">
      <w:pPr>
        <w:pStyle w:val="PolicyBodyText"/>
      </w:pPr>
    </w:p>
    <w:p w14:paraId="67B49CF1" w14:textId="1ACEB268" w:rsidR="002B28DF" w:rsidRPr="00316EC1" w:rsidRDefault="002B28DF" w:rsidP="00227393">
      <w:pPr>
        <w:pStyle w:val="PolicyBodyText"/>
      </w:pPr>
      <w:r w:rsidRPr="00316EC1">
        <w:lastRenderedPageBreak/>
        <w:t>If the number of students seeking consent exceeds the number of spaces, the Board will use an equitable lottery selection process. The process may give priority to students who have siblings currently enrolled in the district; who previously received consent for admission because of a change in legal residence; or who attended a public charter school located in the same district in which the student seeks to attend, for three consecutive years, completed the highest grade offered by the public charter school</w:t>
      </w:r>
      <w:r w:rsidR="00BE7F73" w:rsidRPr="00316EC1">
        <w:t>,</w:t>
      </w:r>
      <w:r w:rsidRPr="00316EC1">
        <w:t xml:space="preserve"> and did not enroll and attend school in another district following completion of that highest grade in the public charter school.</w:t>
      </w:r>
    </w:p>
    <w:p w14:paraId="16F5A5B7" w14:textId="77777777" w:rsidR="002B28DF" w:rsidRPr="00316EC1" w:rsidRDefault="002B28DF" w:rsidP="00227393">
      <w:pPr>
        <w:pStyle w:val="PolicyBodyText"/>
      </w:pPr>
    </w:p>
    <w:p w14:paraId="68E320FD" w14:textId="77777777" w:rsidR="002B28DF" w:rsidRPr="00316EC1" w:rsidRDefault="002B28DF" w:rsidP="00227393">
      <w:pPr>
        <w:pStyle w:val="PolicyBodyText"/>
      </w:pPr>
      <w:bookmarkStart w:id="0" w:name="_Hlk85095924"/>
      <w:r w:rsidRPr="00316EC1">
        <w:t>The Board may revise the maximum number of students to whom consent will be given at a time other than the annual date established by the Board if there are no pending applications for consent.</w:t>
      </w:r>
    </w:p>
    <w:bookmarkEnd w:id="0"/>
    <w:p w14:paraId="6C757CFF" w14:textId="77777777" w:rsidR="002B28DF" w:rsidRPr="00316EC1" w:rsidRDefault="002B28DF" w:rsidP="00227393">
      <w:pPr>
        <w:pStyle w:val="PolicyBodyText"/>
      </w:pPr>
    </w:p>
    <w:p w14:paraId="724942D6" w14:textId="77777777" w:rsidR="002B28DF" w:rsidRPr="00316EC1" w:rsidRDefault="002B28DF" w:rsidP="00227393">
      <w:pPr>
        <w:pStyle w:val="PolicyBodyText"/>
      </w:pPr>
      <w:r w:rsidRPr="00316EC1">
        <w:t>If the Board decides not to give consent to a student the Board must provide a written explanation to the student.</w:t>
      </w:r>
    </w:p>
    <w:p w14:paraId="7F9603D9" w14:textId="77777777" w:rsidR="002B28DF" w:rsidRPr="00316EC1" w:rsidRDefault="002B28DF" w:rsidP="00227393">
      <w:pPr>
        <w:pStyle w:val="PolicyBodyText"/>
      </w:pPr>
    </w:p>
    <w:p w14:paraId="391EA2A1" w14:textId="77777777" w:rsidR="002B28DF" w:rsidRPr="00316EC1" w:rsidRDefault="002B28DF" w:rsidP="00227393">
      <w:pPr>
        <w:pStyle w:val="PolicyBodyText"/>
      </w:pPr>
      <w:r w:rsidRPr="00316EC1">
        <w:t>The district may require minimum standards of behavior and/or attendance once the student has been accepted. The minimum standards must be the same for all students that are given consent. The district is not allowed to establish minimum standards for academics as a criteria for the student to remain in the district. Students whose consent is revoked for violation of set attendance and/or behavior standards will not be allowed to apply for consent to return to this district in the same or the following school year.</w:t>
      </w:r>
    </w:p>
    <w:p w14:paraId="6751CBA2" w14:textId="77777777" w:rsidR="002B28DF" w:rsidRPr="00316EC1" w:rsidRDefault="002B28DF" w:rsidP="00227393">
      <w:pPr>
        <w:pStyle w:val="PolicyBodyText"/>
      </w:pPr>
    </w:p>
    <w:p w14:paraId="47FDFB30" w14:textId="77777777" w:rsidR="002B28DF" w:rsidRPr="00316EC1" w:rsidRDefault="002B28DF" w:rsidP="00227393">
      <w:pPr>
        <w:pStyle w:val="PolicyBodyText"/>
      </w:pPr>
      <w:r w:rsidRPr="00316EC1">
        <w:t>The Board may determine the length of time the consent is given. Any limitations in length of time must be applied consistently among all students to whom consent is given.</w:t>
      </w:r>
    </w:p>
    <w:p w14:paraId="759A4B82" w14:textId="77777777" w:rsidR="002B28DF" w:rsidRPr="00316EC1" w:rsidRDefault="002B28DF" w:rsidP="00227393">
      <w:pPr>
        <w:pStyle w:val="PolicyBodyText"/>
      </w:pPr>
    </w:p>
    <w:p w14:paraId="3B4FA9B8" w14:textId="77777777" w:rsidR="002B28DF" w:rsidRPr="00316EC1" w:rsidRDefault="002B28DF" w:rsidP="00227393">
      <w:pPr>
        <w:pStyle w:val="PolicyBodyText"/>
      </w:pPr>
      <w:r w:rsidRPr="00316EC1">
        <w:t>The district is not required to provide transportation outside the boundaries of the district. The student will be allowed to use existing bus routes and transportation services of the district. Transportation will be provided if required by federal law.</w:t>
      </w:r>
    </w:p>
    <w:p w14:paraId="7A2EDC78" w14:textId="77777777" w:rsidR="002B28DF" w:rsidRPr="00316EC1" w:rsidRDefault="002B28DF" w:rsidP="00227393">
      <w:pPr>
        <w:pStyle w:val="PolicyBodyText"/>
      </w:pPr>
    </w:p>
    <w:p w14:paraId="72CCE59F" w14:textId="77777777" w:rsidR="002B28DF" w:rsidRPr="00316EC1" w:rsidRDefault="002B28DF" w:rsidP="00227393">
      <w:pPr>
        <w:pStyle w:val="PolicyBodyText"/>
      </w:pPr>
      <w:r w:rsidRPr="00316EC1">
        <w:t>The attending district is responsible for a free appropriate public education for those students on an IEP.</w:t>
      </w:r>
    </w:p>
    <w:p w14:paraId="0BB30286" w14:textId="77777777" w:rsidR="002B28DF" w:rsidRPr="00316EC1" w:rsidRDefault="002B28DF" w:rsidP="00227393">
      <w:pPr>
        <w:pStyle w:val="PolicyBodyText"/>
      </w:pPr>
    </w:p>
    <w:p w14:paraId="6D7496FC" w14:textId="77777777" w:rsidR="002B28DF" w:rsidRPr="00316EC1" w:rsidRDefault="002B28DF" w:rsidP="00227393">
      <w:pPr>
        <w:pStyle w:val="PolicyBodyText"/>
      </w:pPr>
      <w:r w:rsidRPr="00316EC1">
        <w:t>END OF POLICY</w:t>
      </w:r>
    </w:p>
    <w:p w14:paraId="2CD12641" w14:textId="77777777" w:rsidR="002B28DF" w:rsidRPr="00316EC1" w:rsidRDefault="002B28DF" w:rsidP="00227393">
      <w:pPr>
        <w:pStyle w:val="PolicyLine"/>
      </w:pPr>
    </w:p>
    <w:p w14:paraId="6EB543E2" w14:textId="77777777" w:rsidR="002B28DF" w:rsidRPr="00316EC1" w:rsidRDefault="002B28DF" w:rsidP="00227393">
      <w:pPr>
        <w:pStyle w:val="PolicyReferences"/>
      </w:pPr>
      <w:r w:rsidRPr="00316EC1">
        <w:rPr>
          <w:b/>
          <w:bCs/>
        </w:rPr>
        <w:t>Legal Reference(s):</w:t>
      </w:r>
    </w:p>
    <w:p w14:paraId="3AFA1EC0" w14:textId="77777777" w:rsidR="002B28DF" w:rsidRPr="00316EC1" w:rsidRDefault="002B28DF" w:rsidP="00227393">
      <w:pPr>
        <w:pStyle w:val="PolicyReferences"/>
      </w:pPr>
    </w:p>
    <w:p w14:paraId="287A8A16" w14:textId="77777777" w:rsidR="002B28DF" w:rsidRPr="00316EC1" w:rsidRDefault="002B28DF" w:rsidP="00227393">
      <w:pPr>
        <w:pStyle w:val="PolicyReferences"/>
        <w:sectPr w:rsidR="002B28DF" w:rsidRPr="00316EC1" w:rsidSect="002B28D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p w14:paraId="55C18926" w14:textId="6413CE59" w:rsidR="00294833" w:rsidRPr="00B33BD3" w:rsidRDefault="00E00DF3" w:rsidP="00294833">
      <w:pPr>
        <w:pStyle w:val="PolicyReferences"/>
        <w:rPr>
          <w:highlight w:val="darkGray"/>
        </w:rPr>
      </w:pPr>
      <w:hyperlink r:id="rId14" w:history="1">
        <w:r w:rsidR="00435CB8">
          <w:rPr>
            <w:rStyle w:val="Hyperlink"/>
            <w:highlight w:val="darkGray"/>
          </w:rPr>
          <w:t>ORS 174</w:t>
        </w:r>
      </w:hyperlink>
      <w:r w:rsidR="00294833" w:rsidRPr="00B33BD3">
        <w:rPr>
          <w:highlight w:val="darkGray"/>
        </w:rPr>
        <w:t>.100</w:t>
      </w:r>
    </w:p>
    <w:p w14:paraId="09D1BCE0" w14:textId="5D7695A5" w:rsidR="002B28DF" w:rsidRPr="00316EC1" w:rsidRDefault="00E00DF3" w:rsidP="00227393">
      <w:pPr>
        <w:pStyle w:val="PolicyReferences"/>
      </w:pPr>
      <w:hyperlink r:id="rId15" w:history="1">
        <w:r w:rsidR="00435CB8">
          <w:rPr>
            <w:rStyle w:val="Hyperlink"/>
          </w:rPr>
          <w:t>ORS 327</w:t>
        </w:r>
      </w:hyperlink>
      <w:r w:rsidR="002B28DF" w:rsidRPr="00316EC1">
        <w:t>.006</w:t>
      </w:r>
    </w:p>
    <w:p w14:paraId="4E479BB7" w14:textId="50E0CCE1" w:rsidR="002B28DF" w:rsidRPr="00316EC1" w:rsidRDefault="00E00DF3" w:rsidP="00227393">
      <w:pPr>
        <w:pStyle w:val="PolicyReferences"/>
      </w:pPr>
      <w:hyperlink r:id="rId16" w:history="1">
        <w:r w:rsidR="00435CB8">
          <w:rPr>
            <w:rStyle w:val="Hyperlink"/>
          </w:rPr>
          <w:t>ORS 329</w:t>
        </w:r>
      </w:hyperlink>
      <w:r w:rsidR="002B28DF" w:rsidRPr="00316EC1">
        <w:t>.485</w:t>
      </w:r>
    </w:p>
    <w:p w14:paraId="2C2DA7C6" w14:textId="1104C62C" w:rsidR="002B28DF" w:rsidRPr="00316EC1" w:rsidRDefault="00E00DF3" w:rsidP="00227393">
      <w:pPr>
        <w:pStyle w:val="PolicyReferences"/>
      </w:pPr>
      <w:hyperlink r:id="rId17" w:history="1">
        <w:r w:rsidR="00435CB8">
          <w:rPr>
            <w:rStyle w:val="Hyperlink"/>
          </w:rPr>
          <w:t>ORS 335</w:t>
        </w:r>
      </w:hyperlink>
      <w:r w:rsidR="002B28DF" w:rsidRPr="00316EC1">
        <w:t>.090</w:t>
      </w:r>
    </w:p>
    <w:p w14:paraId="6E8A1498" w14:textId="4729323F" w:rsidR="002B28DF" w:rsidRPr="00316EC1" w:rsidRDefault="00E00DF3" w:rsidP="00227393">
      <w:pPr>
        <w:pStyle w:val="PolicyReferences"/>
      </w:pPr>
      <w:hyperlink r:id="rId18" w:history="1">
        <w:r w:rsidR="00435CB8">
          <w:rPr>
            <w:rStyle w:val="Hyperlink"/>
          </w:rPr>
          <w:t>ORS 339</w:t>
        </w:r>
      </w:hyperlink>
      <w:r w:rsidR="002B28DF" w:rsidRPr="00316EC1">
        <w:t>.115 -</w:t>
      </w:r>
      <w:r w:rsidR="005172BE" w:rsidRPr="00316EC1">
        <w:t xml:space="preserve"> </w:t>
      </w:r>
      <w:r w:rsidR="002B28DF" w:rsidRPr="00316EC1">
        <w:t>339.133</w:t>
      </w:r>
    </w:p>
    <w:p w14:paraId="4244F7DD" w14:textId="682E5C7F" w:rsidR="002B28DF" w:rsidRPr="00316EC1" w:rsidRDefault="00E00DF3" w:rsidP="00227393">
      <w:pPr>
        <w:pStyle w:val="PolicyReferences"/>
      </w:pPr>
      <w:hyperlink r:id="rId19" w:history="1">
        <w:r w:rsidR="00435CB8">
          <w:rPr>
            <w:rStyle w:val="Hyperlink"/>
          </w:rPr>
          <w:t>ORS 339</w:t>
        </w:r>
      </w:hyperlink>
      <w:r w:rsidR="002B28DF" w:rsidRPr="00316EC1">
        <w:t>.141</w:t>
      </w:r>
    </w:p>
    <w:p w14:paraId="6AE5C1CF" w14:textId="244CFD0A" w:rsidR="002B28DF" w:rsidRPr="00316EC1" w:rsidRDefault="00E00DF3" w:rsidP="00227393">
      <w:pPr>
        <w:pStyle w:val="PolicyReferences"/>
      </w:pPr>
      <w:hyperlink r:id="rId20" w:history="1">
        <w:r w:rsidR="00435CB8">
          <w:rPr>
            <w:rStyle w:val="Hyperlink"/>
          </w:rPr>
          <w:t>ORS 339</w:t>
        </w:r>
      </w:hyperlink>
      <w:r w:rsidR="002B28DF" w:rsidRPr="00316EC1">
        <w:t>.250</w:t>
      </w:r>
    </w:p>
    <w:p w14:paraId="0B490AF4" w14:textId="72F9995E" w:rsidR="002B28DF" w:rsidRPr="00316EC1" w:rsidRDefault="00E00DF3" w:rsidP="00227393">
      <w:pPr>
        <w:pStyle w:val="PolicyReferences"/>
      </w:pPr>
      <w:hyperlink r:id="rId21" w:history="1">
        <w:r w:rsidR="00435CB8">
          <w:rPr>
            <w:rStyle w:val="Hyperlink"/>
          </w:rPr>
          <w:t>ORS 343</w:t>
        </w:r>
      </w:hyperlink>
      <w:r w:rsidR="002B28DF" w:rsidRPr="00316EC1">
        <w:t>.221</w:t>
      </w:r>
    </w:p>
    <w:p w14:paraId="57977C7D" w14:textId="24A325E6" w:rsidR="00782CED" w:rsidRDefault="00E00DF3" w:rsidP="00227393">
      <w:pPr>
        <w:pStyle w:val="PolicyReferences"/>
      </w:pPr>
      <w:hyperlink r:id="rId22" w:history="1">
        <w:r w:rsidR="00435CB8">
          <w:rPr>
            <w:rStyle w:val="Hyperlink"/>
          </w:rPr>
          <w:t>ORS 433</w:t>
        </w:r>
      </w:hyperlink>
      <w:r w:rsidR="002B28DF" w:rsidRPr="00316EC1">
        <w:t>.267</w:t>
      </w:r>
    </w:p>
    <w:p w14:paraId="0C35E3B9" w14:textId="6916135D" w:rsidR="001B0256" w:rsidRPr="00316EC1" w:rsidRDefault="00E00DF3" w:rsidP="00227393">
      <w:pPr>
        <w:pStyle w:val="PolicyReferences"/>
        <w:sectPr w:rsidR="001B0256" w:rsidRPr="00316EC1" w:rsidSect="002B28DF">
          <w:footerReference w:type="default" r:id="rId23"/>
          <w:type w:val="continuous"/>
          <w:pgSz w:w="12240" w:h="15838"/>
          <w:pgMar w:top="936" w:right="720" w:bottom="720" w:left="1224" w:header="432" w:footer="720" w:gutter="0"/>
          <w:cols w:num="3" w:space="361" w:equalWidth="0">
            <w:col w:w="3238" w:space="361"/>
            <w:col w:w="3237" w:space="360"/>
            <w:col w:w="3098"/>
          </w:cols>
          <w:noEndnote/>
          <w:docGrid w:linePitch="326"/>
        </w:sectPr>
      </w:pPr>
      <w:hyperlink r:id="rId24" w:history="1">
        <w:r w:rsidR="00352535" w:rsidRPr="00316EC1">
          <w:rPr>
            <w:rStyle w:val="Hyperlink"/>
          </w:rPr>
          <w:t>OAR 581</w:t>
        </w:r>
      </w:hyperlink>
      <w:r w:rsidR="001B0256" w:rsidRPr="00316EC1">
        <w:t>-021-0019</w:t>
      </w:r>
    </w:p>
    <w:p w14:paraId="0A6DE2B6" w14:textId="4532A711" w:rsidR="002B28DF" w:rsidRPr="00316EC1" w:rsidRDefault="002B28DF" w:rsidP="00227393">
      <w:pPr>
        <w:pStyle w:val="PolicyReferences"/>
      </w:pPr>
    </w:p>
    <w:sectPr w:rsidR="002B28DF" w:rsidRPr="00316EC1" w:rsidSect="002B28DF">
      <w:footerReference w:type="default" r:id="rId25"/>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B13C3" w14:textId="77777777" w:rsidR="002B28DF" w:rsidRDefault="002B28DF" w:rsidP="00FC3907">
      <w:r>
        <w:separator/>
      </w:r>
    </w:p>
  </w:endnote>
  <w:endnote w:type="continuationSeparator" w:id="0">
    <w:p w14:paraId="3594E6D1" w14:textId="77777777" w:rsidR="002B28DF" w:rsidRDefault="002B28D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F167" w14:textId="77777777" w:rsidR="00B33BD3" w:rsidRDefault="00B33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2B28DF" w:rsidRPr="00316EC1" w14:paraId="4F358D61" w14:textId="77777777" w:rsidTr="004616AD">
      <w:tc>
        <w:tcPr>
          <w:tcW w:w="2340" w:type="dxa"/>
        </w:tcPr>
        <w:p w14:paraId="5052AF18" w14:textId="381C4E97" w:rsidR="002B28DF" w:rsidRPr="00316EC1" w:rsidRDefault="002B28DF" w:rsidP="004616AD">
          <w:pPr>
            <w:pStyle w:val="Footer"/>
            <w:rPr>
              <w:noProof/>
              <w:sz w:val="20"/>
            </w:rPr>
          </w:pPr>
          <w:r w:rsidRPr="00316EC1">
            <w:rPr>
              <w:noProof/>
              <w:sz w:val="20"/>
            </w:rPr>
            <w:t>HR</w:t>
          </w:r>
          <w:del w:id="1" w:author="Leslie Fisher" w:date="2021-07-27T15:52:00Z">
            <w:r w:rsidR="00025988" w:rsidRPr="00316EC1" w:rsidDel="00294833">
              <w:rPr>
                <w:noProof/>
                <w:sz w:val="20"/>
              </w:rPr>
              <w:delText>2/</w:delText>
            </w:r>
            <w:r w:rsidR="0087019F" w:rsidRPr="00316EC1" w:rsidDel="00294833">
              <w:rPr>
                <w:noProof/>
                <w:sz w:val="20"/>
              </w:rPr>
              <w:delText>28</w:delText>
            </w:r>
            <w:r w:rsidR="00216BD7" w:rsidRPr="00316EC1" w:rsidDel="00294833">
              <w:rPr>
                <w:noProof/>
                <w:sz w:val="20"/>
              </w:rPr>
              <w:delText>/19</w:delText>
            </w:r>
          </w:del>
          <w:r w:rsidR="00194FFB" w:rsidRPr="00630EBE">
            <w:rPr>
              <w:noProof/>
              <w:sz w:val="20"/>
              <w:highlight w:val="darkGray"/>
            </w:rPr>
            <w:t>10/05/21</w:t>
          </w:r>
          <w:r w:rsidRPr="00316EC1">
            <w:rPr>
              <w:noProof/>
              <w:sz w:val="20"/>
            </w:rPr>
            <w:t>│</w:t>
          </w:r>
          <w:del w:id="2" w:author="Leslie Fisher" w:date="2021-07-27T15:52:00Z">
            <w:r w:rsidRPr="00316EC1" w:rsidDel="00294833">
              <w:rPr>
                <w:noProof/>
                <w:sz w:val="20"/>
              </w:rPr>
              <w:delText>PH</w:delText>
            </w:r>
          </w:del>
          <w:r w:rsidR="00294833" w:rsidRPr="00B33BD3">
            <w:rPr>
              <w:noProof/>
              <w:sz w:val="20"/>
              <w:highlight w:val="darkGray"/>
            </w:rPr>
            <w:t>LF</w:t>
          </w:r>
        </w:p>
      </w:tc>
      <w:tc>
        <w:tcPr>
          <w:tcW w:w="7956" w:type="dxa"/>
        </w:tcPr>
        <w:p w14:paraId="0F141898" w14:textId="77777777" w:rsidR="002B28DF" w:rsidRPr="00316EC1" w:rsidRDefault="002B28DF" w:rsidP="004616AD">
          <w:pPr>
            <w:pStyle w:val="Footer"/>
            <w:jc w:val="right"/>
          </w:pPr>
          <w:r w:rsidRPr="00316EC1">
            <w:t>Admission of Nonresident Students – JECB</w:t>
          </w:r>
        </w:p>
        <w:p w14:paraId="11002FC7" w14:textId="77777777" w:rsidR="002B28DF" w:rsidRPr="00316EC1" w:rsidRDefault="002B28DF" w:rsidP="004616AD">
          <w:pPr>
            <w:pStyle w:val="Footer"/>
            <w:jc w:val="right"/>
            <w:rPr>
              <w:sz w:val="20"/>
            </w:rPr>
          </w:pPr>
          <w:r w:rsidRPr="00316EC1">
            <w:rPr>
              <w:bCs/>
              <w:noProof/>
            </w:rPr>
            <w:fldChar w:fldCharType="begin"/>
          </w:r>
          <w:r w:rsidRPr="00316EC1">
            <w:rPr>
              <w:bCs/>
              <w:noProof/>
            </w:rPr>
            <w:instrText xml:space="preserve"> PAGE  \* Arabic  \* MERGEFORMAT </w:instrText>
          </w:r>
          <w:r w:rsidRPr="00316EC1">
            <w:rPr>
              <w:bCs/>
              <w:noProof/>
            </w:rPr>
            <w:fldChar w:fldCharType="separate"/>
          </w:r>
          <w:r w:rsidRPr="00316EC1">
            <w:rPr>
              <w:bCs/>
              <w:noProof/>
            </w:rPr>
            <w:t>1</w:t>
          </w:r>
          <w:r w:rsidRPr="00316EC1">
            <w:rPr>
              <w:bCs/>
              <w:noProof/>
            </w:rPr>
            <w:fldChar w:fldCharType="end"/>
          </w:r>
          <w:r w:rsidRPr="00316EC1">
            <w:rPr>
              <w:noProof/>
            </w:rPr>
            <w:t>-</w:t>
          </w:r>
          <w:r w:rsidRPr="00316EC1">
            <w:rPr>
              <w:bCs/>
              <w:noProof/>
            </w:rPr>
            <w:fldChar w:fldCharType="begin"/>
          </w:r>
          <w:r w:rsidRPr="00316EC1">
            <w:rPr>
              <w:bCs/>
              <w:noProof/>
            </w:rPr>
            <w:instrText xml:space="preserve"> NUMPAGES  \* Arabic  \* MERGEFORMAT </w:instrText>
          </w:r>
          <w:r w:rsidRPr="00316EC1">
            <w:rPr>
              <w:bCs/>
              <w:noProof/>
            </w:rPr>
            <w:fldChar w:fldCharType="separate"/>
          </w:r>
          <w:r w:rsidRPr="00316EC1">
            <w:rPr>
              <w:bCs/>
              <w:noProof/>
            </w:rPr>
            <w:t>1</w:t>
          </w:r>
          <w:r w:rsidRPr="00316EC1">
            <w:rPr>
              <w:bCs/>
              <w:noProof/>
            </w:rPr>
            <w:fldChar w:fldCharType="end"/>
          </w:r>
        </w:p>
      </w:tc>
    </w:tr>
  </w:tbl>
  <w:p w14:paraId="547DA2E5" w14:textId="77777777" w:rsidR="002B28DF" w:rsidRPr="00316EC1" w:rsidRDefault="002B28D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7FD5" w14:textId="77777777" w:rsidR="00B33BD3" w:rsidRDefault="00B33B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2B28DF" w:rsidRPr="00316EC1" w14:paraId="4A1BFD17" w14:textId="77777777" w:rsidTr="004616AD">
      <w:tc>
        <w:tcPr>
          <w:tcW w:w="2340" w:type="dxa"/>
        </w:tcPr>
        <w:p w14:paraId="2FF23E4C" w14:textId="77777777" w:rsidR="002B28DF" w:rsidRPr="00316EC1" w:rsidRDefault="002B28DF" w:rsidP="004616AD">
          <w:pPr>
            <w:pStyle w:val="Footer"/>
            <w:rPr>
              <w:noProof/>
              <w:sz w:val="20"/>
            </w:rPr>
          </w:pPr>
          <w:r w:rsidRPr="00316EC1">
            <w:rPr>
              <w:noProof/>
              <w:sz w:val="20"/>
            </w:rPr>
            <w:t>HR4/17/17│PH</w:t>
          </w:r>
        </w:p>
      </w:tc>
      <w:tc>
        <w:tcPr>
          <w:tcW w:w="7956" w:type="dxa"/>
        </w:tcPr>
        <w:p w14:paraId="7B4CAEFD" w14:textId="77777777" w:rsidR="002B28DF" w:rsidRPr="00316EC1" w:rsidRDefault="002B28DF" w:rsidP="004616AD">
          <w:pPr>
            <w:pStyle w:val="Footer"/>
            <w:jc w:val="right"/>
          </w:pPr>
          <w:r w:rsidRPr="00316EC1">
            <w:t>Admission of Nonresident Students – JECB</w:t>
          </w:r>
        </w:p>
        <w:p w14:paraId="47E227C1" w14:textId="77777777" w:rsidR="002B28DF" w:rsidRPr="00316EC1" w:rsidRDefault="002B28DF" w:rsidP="004616AD">
          <w:pPr>
            <w:pStyle w:val="Footer"/>
            <w:jc w:val="right"/>
            <w:rPr>
              <w:sz w:val="20"/>
            </w:rPr>
          </w:pPr>
          <w:r w:rsidRPr="00316EC1">
            <w:rPr>
              <w:bCs/>
              <w:noProof/>
            </w:rPr>
            <w:fldChar w:fldCharType="begin"/>
          </w:r>
          <w:r w:rsidRPr="00316EC1">
            <w:rPr>
              <w:bCs/>
              <w:noProof/>
            </w:rPr>
            <w:instrText xml:space="preserve"> PAGE  \* Arabic  \* MERGEFORMAT </w:instrText>
          </w:r>
          <w:r w:rsidRPr="00316EC1">
            <w:rPr>
              <w:bCs/>
              <w:noProof/>
            </w:rPr>
            <w:fldChar w:fldCharType="separate"/>
          </w:r>
          <w:r w:rsidRPr="00316EC1">
            <w:rPr>
              <w:bCs/>
              <w:noProof/>
            </w:rPr>
            <w:t>1</w:t>
          </w:r>
          <w:r w:rsidRPr="00316EC1">
            <w:rPr>
              <w:bCs/>
              <w:noProof/>
            </w:rPr>
            <w:fldChar w:fldCharType="end"/>
          </w:r>
          <w:r w:rsidRPr="00316EC1">
            <w:rPr>
              <w:noProof/>
            </w:rPr>
            <w:t>-</w:t>
          </w:r>
          <w:r w:rsidRPr="00316EC1">
            <w:rPr>
              <w:bCs/>
              <w:noProof/>
            </w:rPr>
            <w:fldChar w:fldCharType="begin"/>
          </w:r>
          <w:r w:rsidRPr="00316EC1">
            <w:rPr>
              <w:bCs/>
              <w:noProof/>
            </w:rPr>
            <w:instrText xml:space="preserve"> NUMPAGES  \* Arabic  \* MERGEFORMAT </w:instrText>
          </w:r>
          <w:r w:rsidRPr="00316EC1">
            <w:rPr>
              <w:bCs/>
              <w:noProof/>
            </w:rPr>
            <w:fldChar w:fldCharType="separate"/>
          </w:r>
          <w:r w:rsidRPr="00316EC1">
            <w:rPr>
              <w:bCs/>
              <w:noProof/>
            </w:rPr>
            <w:t>1</w:t>
          </w:r>
          <w:r w:rsidRPr="00316EC1">
            <w:rPr>
              <w:bCs/>
              <w:noProof/>
            </w:rPr>
            <w:fldChar w:fldCharType="end"/>
          </w:r>
        </w:p>
      </w:tc>
    </w:tr>
  </w:tbl>
  <w:p w14:paraId="2EC93D5D" w14:textId="77777777" w:rsidR="002B28DF" w:rsidRPr="00316EC1" w:rsidRDefault="002B28D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2B28DF" w:rsidRPr="00316EC1" w14:paraId="7AC63CE0" w14:textId="77777777" w:rsidTr="004616AD">
      <w:tc>
        <w:tcPr>
          <w:tcW w:w="2340" w:type="dxa"/>
        </w:tcPr>
        <w:p w14:paraId="3C5E5137" w14:textId="77777777" w:rsidR="002B28DF" w:rsidRPr="00316EC1" w:rsidRDefault="002B28DF" w:rsidP="004616AD">
          <w:pPr>
            <w:pStyle w:val="Footer"/>
            <w:rPr>
              <w:noProof/>
              <w:sz w:val="20"/>
            </w:rPr>
          </w:pPr>
          <w:r w:rsidRPr="00316EC1">
            <w:rPr>
              <w:noProof/>
              <w:sz w:val="20"/>
            </w:rPr>
            <w:t>HR4/17/17│PH</w:t>
          </w:r>
        </w:p>
      </w:tc>
      <w:tc>
        <w:tcPr>
          <w:tcW w:w="7956" w:type="dxa"/>
        </w:tcPr>
        <w:p w14:paraId="095E7BD5" w14:textId="77777777" w:rsidR="002B28DF" w:rsidRPr="00316EC1" w:rsidRDefault="002B28DF" w:rsidP="004616AD">
          <w:pPr>
            <w:pStyle w:val="Footer"/>
            <w:jc w:val="right"/>
          </w:pPr>
          <w:r w:rsidRPr="00316EC1">
            <w:t>Admission of Nonresident Students – JECB</w:t>
          </w:r>
        </w:p>
        <w:p w14:paraId="08C14D7C" w14:textId="77777777" w:rsidR="002B28DF" w:rsidRPr="00316EC1" w:rsidRDefault="002B28DF" w:rsidP="004616AD">
          <w:pPr>
            <w:pStyle w:val="Footer"/>
            <w:jc w:val="right"/>
            <w:rPr>
              <w:sz w:val="20"/>
            </w:rPr>
          </w:pPr>
          <w:r w:rsidRPr="00316EC1">
            <w:rPr>
              <w:bCs/>
              <w:noProof/>
            </w:rPr>
            <w:fldChar w:fldCharType="begin"/>
          </w:r>
          <w:r w:rsidRPr="00316EC1">
            <w:rPr>
              <w:bCs/>
              <w:noProof/>
            </w:rPr>
            <w:instrText xml:space="preserve"> PAGE  \* Arabic  \* MERGEFORMAT </w:instrText>
          </w:r>
          <w:r w:rsidRPr="00316EC1">
            <w:rPr>
              <w:bCs/>
              <w:noProof/>
            </w:rPr>
            <w:fldChar w:fldCharType="separate"/>
          </w:r>
          <w:r w:rsidRPr="00316EC1">
            <w:rPr>
              <w:bCs/>
              <w:noProof/>
            </w:rPr>
            <w:t>1</w:t>
          </w:r>
          <w:r w:rsidRPr="00316EC1">
            <w:rPr>
              <w:bCs/>
              <w:noProof/>
            </w:rPr>
            <w:fldChar w:fldCharType="end"/>
          </w:r>
          <w:r w:rsidRPr="00316EC1">
            <w:rPr>
              <w:noProof/>
            </w:rPr>
            <w:t>-</w:t>
          </w:r>
          <w:r w:rsidRPr="00316EC1">
            <w:rPr>
              <w:bCs/>
              <w:noProof/>
            </w:rPr>
            <w:fldChar w:fldCharType="begin"/>
          </w:r>
          <w:r w:rsidRPr="00316EC1">
            <w:rPr>
              <w:bCs/>
              <w:noProof/>
            </w:rPr>
            <w:instrText xml:space="preserve"> NUMPAGES  \* Arabic  \* MERGEFORMAT </w:instrText>
          </w:r>
          <w:r w:rsidRPr="00316EC1">
            <w:rPr>
              <w:bCs/>
              <w:noProof/>
            </w:rPr>
            <w:fldChar w:fldCharType="separate"/>
          </w:r>
          <w:r w:rsidRPr="00316EC1">
            <w:rPr>
              <w:bCs/>
              <w:noProof/>
            </w:rPr>
            <w:t>1</w:t>
          </w:r>
          <w:r w:rsidRPr="00316EC1">
            <w:rPr>
              <w:bCs/>
              <w:noProof/>
            </w:rPr>
            <w:fldChar w:fldCharType="end"/>
          </w:r>
        </w:p>
      </w:tc>
    </w:tr>
  </w:tbl>
  <w:p w14:paraId="221A4B5F" w14:textId="77777777" w:rsidR="002B28DF" w:rsidRPr="00316EC1" w:rsidRDefault="002B28D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5363" w14:textId="77777777" w:rsidR="002B28DF" w:rsidRDefault="002B28DF" w:rsidP="00FC3907">
      <w:r>
        <w:separator/>
      </w:r>
    </w:p>
  </w:footnote>
  <w:footnote w:type="continuationSeparator" w:id="0">
    <w:p w14:paraId="3B0CDC3C" w14:textId="77777777" w:rsidR="002B28DF" w:rsidRDefault="002B28D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FF35" w14:textId="77777777" w:rsidR="00B33BD3" w:rsidRPr="00630EBE" w:rsidRDefault="00B33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7F6E" w14:textId="77777777" w:rsidR="00B33BD3" w:rsidRDefault="00B33B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C7AD" w14:textId="77777777" w:rsidR="00B33BD3" w:rsidRDefault="00B33B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4915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995"/>
    <w:rsid w:val="00025988"/>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5440"/>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94FFB"/>
    <w:rsid w:val="001B0256"/>
    <w:rsid w:val="001C1D43"/>
    <w:rsid w:val="001C3978"/>
    <w:rsid w:val="001C5C15"/>
    <w:rsid w:val="001E1260"/>
    <w:rsid w:val="001E7AE7"/>
    <w:rsid w:val="001F4D2D"/>
    <w:rsid w:val="0021369D"/>
    <w:rsid w:val="00216BD7"/>
    <w:rsid w:val="00217190"/>
    <w:rsid w:val="00224022"/>
    <w:rsid w:val="00227393"/>
    <w:rsid w:val="00246025"/>
    <w:rsid w:val="0028031C"/>
    <w:rsid w:val="00280B93"/>
    <w:rsid w:val="002821D2"/>
    <w:rsid w:val="00284A5E"/>
    <w:rsid w:val="00286D2D"/>
    <w:rsid w:val="00294833"/>
    <w:rsid w:val="002A7657"/>
    <w:rsid w:val="002B28DF"/>
    <w:rsid w:val="002C5492"/>
    <w:rsid w:val="002C77C7"/>
    <w:rsid w:val="002F4D33"/>
    <w:rsid w:val="002F7C67"/>
    <w:rsid w:val="00305489"/>
    <w:rsid w:val="00306B03"/>
    <w:rsid w:val="0031167D"/>
    <w:rsid w:val="00311B2D"/>
    <w:rsid w:val="00316EC1"/>
    <w:rsid w:val="00321D7A"/>
    <w:rsid w:val="003233D7"/>
    <w:rsid w:val="003234E0"/>
    <w:rsid w:val="00346329"/>
    <w:rsid w:val="00350AEA"/>
    <w:rsid w:val="00352535"/>
    <w:rsid w:val="00354BAF"/>
    <w:rsid w:val="00355C5E"/>
    <w:rsid w:val="00362C67"/>
    <w:rsid w:val="00363573"/>
    <w:rsid w:val="00363AE7"/>
    <w:rsid w:val="00367B06"/>
    <w:rsid w:val="003804C0"/>
    <w:rsid w:val="00385E10"/>
    <w:rsid w:val="003915B0"/>
    <w:rsid w:val="003B3329"/>
    <w:rsid w:val="003E6E0C"/>
    <w:rsid w:val="003F7B66"/>
    <w:rsid w:val="0040634B"/>
    <w:rsid w:val="00415660"/>
    <w:rsid w:val="00415A69"/>
    <w:rsid w:val="004347FA"/>
    <w:rsid w:val="00435CB8"/>
    <w:rsid w:val="00440997"/>
    <w:rsid w:val="00443C38"/>
    <w:rsid w:val="00453EF5"/>
    <w:rsid w:val="00455739"/>
    <w:rsid w:val="00456577"/>
    <w:rsid w:val="00472B26"/>
    <w:rsid w:val="00484B66"/>
    <w:rsid w:val="00490A75"/>
    <w:rsid w:val="0049277F"/>
    <w:rsid w:val="00494174"/>
    <w:rsid w:val="004C1EE4"/>
    <w:rsid w:val="004C2F7D"/>
    <w:rsid w:val="004D4FB6"/>
    <w:rsid w:val="004E3582"/>
    <w:rsid w:val="004F2D41"/>
    <w:rsid w:val="004F53EB"/>
    <w:rsid w:val="005130E3"/>
    <w:rsid w:val="005172BE"/>
    <w:rsid w:val="0051750D"/>
    <w:rsid w:val="00524F11"/>
    <w:rsid w:val="005342BD"/>
    <w:rsid w:val="00536354"/>
    <w:rsid w:val="00543474"/>
    <w:rsid w:val="00557E6B"/>
    <w:rsid w:val="00573A5C"/>
    <w:rsid w:val="00594E75"/>
    <w:rsid w:val="005A0A48"/>
    <w:rsid w:val="005A4EEB"/>
    <w:rsid w:val="005A6BFA"/>
    <w:rsid w:val="005C1564"/>
    <w:rsid w:val="005E06B3"/>
    <w:rsid w:val="005E3F0A"/>
    <w:rsid w:val="005F3316"/>
    <w:rsid w:val="0060463A"/>
    <w:rsid w:val="0061672C"/>
    <w:rsid w:val="006175EE"/>
    <w:rsid w:val="00620A00"/>
    <w:rsid w:val="00621D2B"/>
    <w:rsid w:val="0062603D"/>
    <w:rsid w:val="00630EBE"/>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02C8"/>
    <w:rsid w:val="007519A6"/>
    <w:rsid w:val="00752AEA"/>
    <w:rsid w:val="00752B2D"/>
    <w:rsid w:val="00754B98"/>
    <w:rsid w:val="00763A99"/>
    <w:rsid w:val="00782930"/>
    <w:rsid w:val="00782CED"/>
    <w:rsid w:val="00784DE2"/>
    <w:rsid w:val="00790E27"/>
    <w:rsid w:val="007A0E9B"/>
    <w:rsid w:val="007A3694"/>
    <w:rsid w:val="007A7F92"/>
    <w:rsid w:val="007B228A"/>
    <w:rsid w:val="007B384B"/>
    <w:rsid w:val="007B62AA"/>
    <w:rsid w:val="007D02D3"/>
    <w:rsid w:val="007E3300"/>
    <w:rsid w:val="007E4701"/>
    <w:rsid w:val="007F0455"/>
    <w:rsid w:val="007F501D"/>
    <w:rsid w:val="008073B2"/>
    <w:rsid w:val="008152CF"/>
    <w:rsid w:val="00824B84"/>
    <w:rsid w:val="00830ED8"/>
    <w:rsid w:val="00835AD6"/>
    <w:rsid w:val="00844CD8"/>
    <w:rsid w:val="00850A44"/>
    <w:rsid w:val="0087019F"/>
    <w:rsid w:val="00870BED"/>
    <w:rsid w:val="00882C0D"/>
    <w:rsid w:val="00890313"/>
    <w:rsid w:val="008A156E"/>
    <w:rsid w:val="008A2D8F"/>
    <w:rsid w:val="008A3BAF"/>
    <w:rsid w:val="008B0925"/>
    <w:rsid w:val="008B6FAC"/>
    <w:rsid w:val="008B730B"/>
    <w:rsid w:val="008B7E7E"/>
    <w:rsid w:val="008C24DB"/>
    <w:rsid w:val="008D663E"/>
    <w:rsid w:val="008E1CAE"/>
    <w:rsid w:val="008F4D57"/>
    <w:rsid w:val="00907FA5"/>
    <w:rsid w:val="00912BAC"/>
    <w:rsid w:val="00923DFB"/>
    <w:rsid w:val="009317A1"/>
    <w:rsid w:val="00940E79"/>
    <w:rsid w:val="009447D5"/>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E4F2E"/>
    <w:rsid w:val="009F2011"/>
    <w:rsid w:val="009F24C0"/>
    <w:rsid w:val="009F4F41"/>
    <w:rsid w:val="009F694C"/>
    <w:rsid w:val="009F7274"/>
    <w:rsid w:val="00A15392"/>
    <w:rsid w:val="00A20986"/>
    <w:rsid w:val="00A268EF"/>
    <w:rsid w:val="00A312B5"/>
    <w:rsid w:val="00A61DAA"/>
    <w:rsid w:val="00A7204A"/>
    <w:rsid w:val="00A924FE"/>
    <w:rsid w:val="00A967F8"/>
    <w:rsid w:val="00AC3EDD"/>
    <w:rsid w:val="00AC5141"/>
    <w:rsid w:val="00AC6972"/>
    <w:rsid w:val="00AE1154"/>
    <w:rsid w:val="00AE6E2D"/>
    <w:rsid w:val="00AF3E4D"/>
    <w:rsid w:val="00AF6F27"/>
    <w:rsid w:val="00B01ACE"/>
    <w:rsid w:val="00B04433"/>
    <w:rsid w:val="00B239E5"/>
    <w:rsid w:val="00B24778"/>
    <w:rsid w:val="00B33BD3"/>
    <w:rsid w:val="00B3442C"/>
    <w:rsid w:val="00B36427"/>
    <w:rsid w:val="00B4113F"/>
    <w:rsid w:val="00B44352"/>
    <w:rsid w:val="00B637AA"/>
    <w:rsid w:val="00B659D3"/>
    <w:rsid w:val="00B70CD3"/>
    <w:rsid w:val="00B76A55"/>
    <w:rsid w:val="00B93330"/>
    <w:rsid w:val="00B94A90"/>
    <w:rsid w:val="00BA02CC"/>
    <w:rsid w:val="00BA54B2"/>
    <w:rsid w:val="00BB226C"/>
    <w:rsid w:val="00BB2371"/>
    <w:rsid w:val="00BC6D2F"/>
    <w:rsid w:val="00BD65DF"/>
    <w:rsid w:val="00BE2566"/>
    <w:rsid w:val="00BE44C8"/>
    <w:rsid w:val="00BE450C"/>
    <w:rsid w:val="00BE5ECB"/>
    <w:rsid w:val="00BE7F73"/>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E5157"/>
    <w:rsid w:val="00CF6EF5"/>
    <w:rsid w:val="00D01C38"/>
    <w:rsid w:val="00D33F63"/>
    <w:rsid w:val="00D37878"/>
    <w:rsid w:val="00D4493C"/>
    <w:rsid w:val="00D55ABF"/>
    <w:rsid w:val="00D65180"/>
    <w:rsid w:val="00D7233F"/>
    <w:rsid w:val="00D7490B"/>
    <w:rsid w:val="00D82C4F"/>
    <w:rsid w:val="00D85D37"/>
    <w:rsid w:val="00D87B51"/>
    <w:rsid w:val="00DB49B6"/>
    <w:rsid w:val="00DE0C18"/>
    <w:rsid w:val="00DF0AE6"/>
    <w:rsid w:val="00DF464B"/>
    <w:rsid w:val="00E009DD"/>
    <w:rsid w:val="00E00DF3"/>
    <w:rsid w:val="00E07338"/>
    <w:rsid w:val="00E34F37"/>
    <w:rsid w:val="00E3598A"/>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4459"/>
    <w:rsid w:val="00F704CA"/>
    <w:rsid w:val="00F774CC"/>
    <w:rsid w:val="00F80E45"/>
    <w:rsid w:val="00F91523"/>
    <w:rsid w:val="00F93DE8"/>
    <w:rsid w:val="00F943FB"/>
    <w:rsid w:val="00F94BBC"/>
    <w:rsid w:val="00F951CF"/>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5A006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B28DF"/>
    <w:rPr>
      <w:color w:val="0000FF"/>
      <w:u w:val="single"/>
    </w:rPr>
  </w:style>
  <w:style w:type="paragraph" w:styleId="BalloonText">
    <w:name w:val="Balloon Text"/>
    <w:basedOn w:val="Normal"/>
    <w:link w:val="BalloonTextChar"/>
    <w:uiPriority w:val="99"/>
    <w:semiHidden/>
    <w:unhideWhenUsed/>
    <w:rsid w:val="00BB22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26C"/>
    <w:rPr>
      <w:rFonts w:ascii="Segoe UI" w:hAnsi="Segoe UI" w:cs="Segoe UI"/>
      <w:sz w:val="18"/>
      <w:szCs w:val="18"/>
    </w:rPr>
  </w:style>
  <w:style w:type="character" w:styleId="Hyperlink">
    <w:name w:val="Hyperlink"/>
    <w:basedOn w:val="DefaultParagraphFont"/>
    <w:uiPriority w:val="99"/>
    <w:unhideWhenUsed/>
    <w:rsid w:val="00352535"/>
    <w:rPr>
      <w:color w:val="0563C1" w:themeColor="hyperlink"/>
      <w:u w:val="single"/>
    </w:rPr>
  </w:style>
  <w:style w:type="character" w:styleId="UnresolvedMention">
    <w:name w:val="Unresolved Mention"/>
    <w:basedOn w:val="DefaultParagraphFont"/>
    <w:uiPriority w:val="99"/>
    <w:semiHidden/>
    <w:unhideWhenUsed/>
    <w:rsid w:val="00352535"/>
    <w:rPr>
      <w:color w:val="605E5C"/>
      <w:shd w:val="clear" w:color="auto" w:fill="E1DFDD"/>
    </w:rPr>
  </w:style>
  <w:style w:type="paragraph" w:customStyle="1" w:styleId="WatermarkSample">
    <w:name w:val="_WatermarkSample"/>
    <w:basedOn w:val="Normal"/>
    <w:rsid w:val="00227393"/>
    <w:rPr>
      <w:rFonts w:ascii="Arial Black" w:hAnsi="Arial Black" w:cstheme="minorBidi"/>
      <w:b/>
      <w:color w:val="969696"/>
      <w:spacing w:val="60"/>
      <w:sz w:val="148"/>
    </w:rPr>
  </w:style>
  <w:style w:type="paragraph" w:customStyle="1" w:styleId="WatermarkProposed">
    <w:name w:val="_WatermarkProposed"/>
    <w:basedOn w:val="Normal"/>
    <w:rsid w:val="00227393"/>
    <w:rPr>
      <w:rFonts w:ascii="Arial Black" w:hAnsi="Arial Black" w:cstheme="minorBidi"/>
      <w:b/>
      <w:color w:val="969696"/>
      <w:spacing w:val="60"/>
      <w:sz w:val="108"/>
    </w:rPr>
  </w:style>
  <w:style w:type="character" w:styleId="CommentReference">
    <w:name w:val="annotation reference"/>
    <w:basedOn w:val="DefaultParagraphFont"/>
    <w:uiPriority w:val="99"/>
    <w:semiHidden/>
    <w:unhideWhenUsed/>
    <w:rsid w:val="007502C8"/>
    <w:rPr>
      <w:sz w:val="16"/>
      <w:szCs w:val="16"/>
    </w:rPr>
  </w:style>
  <w:style w:type="paragraph" w:styleId="CommentText">
    <w:name w:val="annotation text"/>
    <w:basedOn w:val="Normal"/>
    <w:link w:val="CommentTextChar"/>
    <w:uiPriority w:val="99"/>
    <w:semiHidden/>
    <w:unhideWhenUsed/>
    <w:rsid w:val="007502C8"/>
    <w:rPr>
      <w:sz w:val="20"/>
      <w:szCs w:val="20"/>
    </w:rPr>
  </w:style>
  <w:style w:type="character" w:customStyle="1" w:styleId="CommentTextChar">
    <w:name w:val="Comment Text Char"/>
    <w:basedOn w:val="DefaultParagraphFont"/>
    <w:link w:val="CommentText"/>
    <w:uiPriority w:val="99"/>
    <w:semiHidden/>
    <w:rsid w:val="007502C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502C8"/>
    <w:rPr>
      <w:b/>
      <w:bCs/>
    </w:rPr>
  </w:style>
  <w:style w:type="character" w:customStyle="1" w:styleId="CommentSubjectChar">
    <w:name w:val="Comment Subject Char"/>
    <w:basedOn w:val="CommentTextChar"/>
    <w:link w:val="CommentSubject"/>
    <w:uiPriority w:val="99"/>
    <w:semiHidden/>
    <w:rsid w:val="007502C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rs-34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5"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29" TargetMode="External"/><Relationship Id="rId20"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27"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74" TargetMode="External"/><Relationship Id="rId22" Type="http://schemas.openxmlformats.org/officeDocument/2006/relationships/hyperlink" Target="http://policy.osba.org/orsredir.asp?ors=ors-433"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6893C-7212-46CA-A906-B95A6FA6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JECB - Admission of Nonresident Students</vt:lpstr>
    </vt:vector>
  </TitlesOfParts>
  <Company>OSBA</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JECB - Admission of Nonresident Students</dc:title>
  <dc:subject>OSBA Board Policy</dc:subject>
  <dc:creator>Oregon School Boards Association</dc:creator>
  <cp:keywords/>
  <dc:description/>
  <cp:lastModifiedBy>Rick Stucky</cp:lastModifiedBy>
  <cp:revision>42</cp:revision>
  <cp:lastPrinted>2019-02-01T17:21:00Z</cp:lastPrinted>
  <dcterms:created xsi:type="dcterms:W3CDTF">2018-04-18T16:18:00Z</dcterms:created>
  <dcterms:modified xsi:type="dcterms:W3CDTF">2021-10-14T16:25:00Z</dcterms:modified>
</cp:coreProperties>
</file>