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51EC2" w14:textId="77777777" w:rsidR="00685C16" w:rsidRPr="00976D56" w:rsidRDefault="00685C16" w:rsidP="001E1260">
      <w:pPr>
        <w:pStyle w:val="PolicyTitleBox"/>
      </w:pPr>
      <w:r>
        <w:t>OSBA Model Sample Policy</w:t>
      </w:r>
    </w:p>
    <w:p w14:paraId="2339C20F" w14:textId="77777777" w:rsidR="00CC7D46" w:rsidRDefault="00CC7D46" w:rsidP="00CC7D46"/>
    <w:p w14:paraId="79D67B28" w14:textId="77777777" w:rsidR="001E1260" w:rsidRDefault="001E1260" w:rsidP="001E1260">
      <w:pPr>
        <w:pStyle w:val="PolicyCode"/>
      </w:pPr>
      <w:r>
        <w:t>Code:</w:t>
      </w:r>
      <w:r>
        <w:tab/>
      </w:r>
      <w:r w:rsidR="00A8253C">
        <w:t>JBB</w:t>
      </w:r>
    </w:p>
    <w:p w14:paraId="343FB933" w14:textId="77777777" w:rsidR="001E1260" w:rsidRDefault="001E1260" w:rsidP="001E1260">
      <w:pPr>
        <w:pStyle w:val="PolicyCode"/>
      </w:pPr>
      <w:r>
        <w:t>Adopted:</w:t>
      </w:r>
      <w:r>
        <w:tab/>
      </w:r>
    </w:p>
    <w:p w14:paraId="0BB0A32F" w14:textId="77777777" w:rsidR="001E1260" w:rsidRPr="001E1260" w:rsidRDefault="001E1260" w:rsidP="00CC7D46"/>
    <w:p w14:paraId="12710AC2" w14:textId="77777777" w:rsidR="00EF573E" w:rsidRDefault="00A8253C" w:rsidP="00EF573E">
      <w:pPr>
        <w:pStyle w:val="PolicyTitle"/>
      </w:pPr>
      <w:r>
        <w:t>Educational Equity</w:t>
      </w:r>
    </w:p>
    <w:p w14:paraId="15B66F4C" w14:textId="77777777" w:rsidR="00EF573E" w:rsidRDefault="00EF573E" w:rsidP="00EF573E"/>
    <w:p w14:paraId="12D880A4" w14:textId="71A0E069" w:rsidR="00A8253C" w:rsidRDefault="00A8253C" w:rsidP="00A8253C">
      <w:pPr>
        <w:pStyle w:val="PolicyBodyText"/>
      </w:pPr>
      <w:r>
        <w:t xml:space="preserve">The district is committed to the success of every student in each of our schools. For that success to occur, the district is committed to equity by recognizing institutional barriers and creating access and opportunities that benefit each student. “Achieving </w:t>
      </w:r>
      <w:r w:rsidR="00BB25C8" w:rsidRPr="00A94269">
        <w:rPr>
          <w:highlight w:val="darkGray"/>
        </w:rPr>
        <w:t xml:space="preserve">educational </w:t>
      </w:r>
      <w:r>
        <w:t>equity” means students’ identities will not predict or predetermine their success in school.</w:t>
      </w:r>
    </w:p>
    <w:p w14:paraId="16CBD8BD" w14:textId="77777777" w:rsidR="00A8253C" w:rsidRDefault="00A8253C" w:rsidP="00A8253C">
      <w:pPr>
        <w:pStyle w:val="PolicyBodyText"/>
      </w:pPr>
    </w:p>
    <w:p w14:paraId="2546973D" w14:textId="77777777" w:rsidR="00A8253C" w:rsidRDefault="00A8253C" w:rsidP="00A8253C">
      <w:pPr>
        <w:pStyle w:val="PolicyBodyText"/>
      </w:pPr>
      <w:r>
        <w:t>Educational equity is based on the principles of fairness and justice in allocating resources, opportunity, treatment and creating success for each student.</w:t>
      </w:r>
    </w:p>
    <w:p w14:paraId="2024CB11" w14:textId="77777777" w:rsidR="00A8253C" w:rsidRDefault="00A8253C" w:rsidP="00A8253C">
      <w:pPr>
        <w:pStyle w:val="PolicyBodyText"/>
      </w:pPr>
    </w:p>
    <w:p w14:paraId="3E8EFEBA" w14:textId="77777777" w:rsidR="00A8253C" w:rsidRDefault="00A8253C" w:rsidP="00A8253C">
      <w:pPr>
        <w:pStyle w:val="PolicyBodyText"/>
      </w:pPr>
      <w:r>
        <w:t>Educational equity promotes the real possibility of equality of educational results for each student and between diverse groups of students. Equity strategies are intentional, systemic and focused on the core of the teaching and learning process.</w:t>
      </w:r>
    </w:p>
    <w:p w14:paraId="0ECEFE37" w14:textId="77777777" w:rsidR="00A8253C" w:rsidRDefault="00A8253C" w:rsidP="00A8253C">
      <w:pPr>
        <w:pStyle w:val="PolicyBodyText"/>
      </w:pPr>
    </w:p>
    <w:p w14:paraId="35FB32E3" w14:textId="77777777" w:rsidR="00A8253C" w:rsidRDefault="00A8253C" w:rsidP="00A8253C">
      <w:pPr>
        <w:pStyle w:val="PolicyBodyText"/>
      </w:pPr>
      <w:r>
        <w:t>To achieve educational equity the district will commit to:</w:t>
      </w:r>
    </w:p>
    <w:p w14:paraId="00DBFD12" w14:textId="77777777" w:rsidR="00A8253C" w:rsidRDefault="00A8253C" w:rsidP="00A8253C">
      <w:pPr>
        <w:pStyle w:val="PolicyBodyText"/>
      </w:pPr>
    </w:p>
    <w:p w14:paraId="12883D69" w14:textId="7402A649" w:rsidR="00A8253C" w:rsidRDefault="00A8253C" w:rsidP="00A8253C">
      <w:pPr>
        <w:pStyle w:val="Level1"/>
      </w:pPr>
      <w:r>
        <w:t>Systematically using districtwide and individual school level data, disaggregated by [</w:t>
      </w:r>
      <w:r w:rsidR="00041265">
        <w:rPr>
          <w:rStyle w:val="FootnoteReference"/>
        </w:rPr>
        <w:footnoteReference w:id="1"/>
      </w:r>
      <w:r>
        <w:t xml:space="preserve">race/ethnicity, national origin, language, special education, sex, </w:t>
      </w:r>
      <w:r w:rsidR="00572923" w:rsidRPr="00A94269">
        <w:rPr>
          <w:highlight w:val="darkGray"/>
        </w:rPr>
        <w:t xml:space="preserve">non-binary, </w:t>
      </w:r>
      <w:r>
        <w:t>socioeconomic status and mobility] to inform district decision making.</w:t>
      </w:r>
    </w:p>
    <w:p w14:paraId="0FA89C85" w14:textId="77777777" w:rsidR="00A8253C" w:rsidRDefault="00A8253C" w:rsidP="00A8253C">
      <w:pPr>
        <w:pStyle w:val="Level1"/>
      </w:pPr>
      <w:r>
        <w:t>Raising the achievement of all students while narrowing the gap between the lowest and the highest performing students.</w:t>
      </w:r>
    </w:p>
    <w:p w14:paraId="52896236" w14:textId="5AD13D88" w:rsidR="00A8253C" w:rsidRDefault="00A8253C" w:rsidP="00A8253C">
      <w:pPr>
        <w:pStyle w:val="Level1"/>
      </w:pPr>
      <w:r>
        <w:t>Eliminating the predictability and disparity in all aspects of education and its administration,  including but not limited to, the disproportionate representation of students by race, poverty, sex, sexual orientation</w:t>
      </w:r>
      <w:del w:id="0" w:author="Rick Stucky" w:date="2021-07-08T11:02:00Z">
        <w:r w:rsidR="004A3FE2" w:rsidDel="006219BD">
          <w:rPr>
            <w:rStyle w:val="FootnoteReference"/>
          </w:rPr>
          <w:footnoteReference w:id="2"/>
        </w:r>
      </w:del>
      <w:r w:rsidR="006219BD" w:rsidRPr="00A94269">
        <w:rPr>
          <w:highlight w:val="darkGray"/>
        </w:rPr>
        <w:t>, gender identity,</w:t>
      </w:r>
      <w:r>
        <w:t xml:space="preserve"> and national origin in discipline, special education and in various advanced learning.</w:t>
      </w:r>
    </w:p>
    <w:p w14:paraId="7B89832C" w14:textId="26A0494D" w:rsidR="00A8253C" w:rsidRDefault="00A8253C" w:rsidP="00A8253C">
      <w:pPr>
        <w:pStyle w:val="Level1"/>
      </w:pPr>
      <w:r>
        <w:t>Graduating all students</w:t>
      </w:r>
      <w:r w:rsidR="00F715B9">
        <w:t xml:space="preserve"> </w:t>
      </w:r>
      <w:r>
        <w:t>ready to succeed in a diverse local, national and global community.</w:t>
      </w:r>
    </w:p>
    <w:p w14:paraId="657A3780" w14:textId="77777777" w:rsidR="00A8253C" w:rsidRDefault="00A8253C" w:rsidP="00A8253C">
      <w:pPr>
        <w:pStyle w:val="PolicyBodyText"/>
      </w:pPr>
      <w:r>
        <w:t>In order to achieve educational equity for each and every student:</w:t>
      </w:r>
    </w:p>
    <w:p w14:paraId="1CB027E8" w14:textId="77777777" w:rsidR="00A8253C" w:rsidRDefault="00A8253C" w:rsidP="00A8253C">
      <w:pPr>
        <w:pStyle w:val="PolicyBodyText"/>
      </w:pPr>
    </w:p>
    <w:p w14:paraId="2CF7B32B" w14:textId="77777777" w:rsidR="00A8253C" w:rsidRDefault="00A8253C" w:rsidP="009B1C52">
      <w:pPr>
        <w:pStyle w:val="Level1"/>
        <w:numPr>
          <w:ilvl w:val="0"/>
          <w:numId w:val="16"/>
        </w:numPr>
      </w:pPr>
      <w:r>
        <w:t>The district shall provide every student with equitable access to high quality curriculum, support, facilities and other educational resources, even when this means differentiating resource allocation.</w:t>
      </w:r>
    </w:p>
    <w:p w14:paraId="35A141D4" w14:textId="77777777" w:rsidR="00A8253C" w:rsidRDefault="00A8253C" w:rsidP="00A8253C">
      <w:pPr>
        <w:pStyle w:val="Level1"/>
      </w:pPr>
      <w:r>
        <w:lastRenderedPageBreak/>
        <w:t>The district shall review existing policies, programs, professional development and procedures for the promotion of educational equity, and all applicable new policies, programs and procedures will be developed [using an educational equity analysis tool] [with educational equity as a priority].</w:t>
      </w:r>
    </w:p>
    <w:p w14:paraId="06672741" w14:textId="0075A541" w:rsidR="00A8253C" w:rsidRDefault="00A8253C" w:rsidP="00A8253C">
      <w:pPr>
        <w:pStyle w:val="Level1"/>
      </w:pPr>
      <w:r>
        <w:t xml:space="preserve">The district shall actively work toward a balanced teacher and administrator workforce to reflect the diversity of the student body. The district seeks to recruit, employ, support and retain a workforce that includes racial, </w:t>
      </w:r>
      <w:del w:id="3" w:author="Leslie Fisher" w:date="2021-09-29T09:32:00Z">
        <w:r w:rsidDel="00CB517B">
          <w:delText xml:space="preserve">sex </w:delText>
        </w:r>
      </w:del>
      <w:r w:rsidR="00CB517B" w:rsidRPr="00165C06">
        <w:rPr>
          <w:highlight w:val="darkGray"/>
        </w:rPr>
        <w:t xml:space="preserve">gender </w:t>
      </w:r>
      <w:r>
        <w:t xml:space="preserve">and linguistic diversity, as well as culturally </w:t>
      </w:r>
      <w:r w:rsidR="00586C66" w:rsidRPr="00363DD3">
        <w:rPr>
          <w:highlight w:val="darkGray"/>
        </w:rPr>
        <w:t xml:space="preserve">and linguistically </w:t>
      </w:r>
      <w:r>
        <w:t>responsive administrative, instructional and support personnel.</w:t>
      </w:r>
    </w:p>
    <w:p w14:paraId="3E5995CC" w14:textId="77777777" w:rsidR="00A8253C" w:rsidRDefault="00A8253C" w:rsidP="00A8253C">
      <w:pPr>
        <w:pStyle w:val="Level1"/>
      </w:pPr>
      <w:r>
        <w:t>The district shall provide professional development to strengthen employees’ knowledge and skills for eliminating opportunity gaps and other disparities in achievement.</w:t>
      </w:r>
    </w:p>
    <w:p w14:paraId="0DD47AE5" w14:textId="00991C9C" w:rsidR="00A8253C" w:rsidRDefault="00A8253C" w:rsidP="00A8253C">
      <w:pPr>
        <w:pStyle w:val="Level1"/>
      </w:pPr>
      <w:r>
        <w:t>The district shall create schools with a welcoming, inclusive culture and environment that reflects and supports diversity of the student population, their families and their community.</w:t>
      </w:r>
    </w:p>
    <w:p w14:paraId="2B7B571E" w14:textId="77777777" w:rsidR="00A8253C" w:rsidRDefault="00A8253C" w:rsidP="00A8253C">
      <w:pPr>
        <w:pStyle w:val="Level1"/>
      </w:pPr>
      <w:r>
        <w:t>The district shall include partners who have demonstrated culturally specific expertise, including but not limited to, families, government agencies, institutions of higher learning, early childhood education organizations, community-based organizations, local businesses and the community in general, in meeting our high goals for educational outcomes. The district shall seek to involve students, staff, families and community members that reflect district demographics to inform decisions regarding the narrowing of the achievement and other opportunity gaps.</w:t>
      </w:r>
    </w:p>
    <w:p w14:paraId="35C9EF05" w14:textId="77777777" w:rsidR="00A8253C" w:rsidRDefault="00A8253C" w:rsidP="00A8253C">
      <w:pPr>
        <w:pStyle w:val="Level1"/>
      </w:pPr>
      <w:r>
        <w:t>The district shall provide multiple pathways to success in order to meet the needs of the diverse student body and shall actively encourage, support and expect high academic achievement for each student.</w:t>
      </w:r>
    </w:p>
    <w:p w14:paraId="1EE3537B" w14:textId="3E2E2080" w:rsidR="00A8253C" w:rsidRDefault="00A8253C" w:rsidP="00A8253C">
      <w:pPr>
        <w:pStyle w:val="Level1"/>
      </w:pPr>
      <w:r>
        <w:t xml:space="preserve">The district shall provide materials and assessments that reflect the diversity of students and staff and are geared toward the understanding and appreciation of </w:t>
      </w:r>
      <w:r w:rsidR="00BE5E89" w:rsidRPr="00A94269">
        <w:rPr>
          <w:highlight w:val="darkGray"/>
        </w:rPr>
        <w:t>[</w:t>
      </w:r>
      <w:r>
        <w:t>culture, class, language, ethnicity, poverty, ability and other differences that contribute to</w:t>
      </w:r>
      <w:r w:rsidR="00BE5E89" w:rsidRPr="00A94269">
        <w:rPr>
          <w:highlight w:val="darkGray"/>
        </w:rPr>
        <w:t>]</w:t>
      </w:r>
      <w:r>
        <w:t xml:space="preserve"> the uniqueness of each student and staff member.</w:t>
      </w:r>
    </w:p>
    <w:p w14:paraId="12066629" w14:textId="77777777" w:rsidR="00A8253C" w:rsidRDefault="00A8253C" w:rsidP="00A8253C">
      <w:pPr>
        <w:pStyle w:val="PolicyBodyText"/>
      </w:pPr>
      <w:r>
        <w:t>The superintendent shall [develop procedures] [develop an action plan] [include equity practices in the district’s strategic plan strategies] to implement this policy. The superintendent will [annually] report to the Board the progress of the [implementation of this policy] [action plan] [strategic plan].</w:t>
      </w:r>
    </w:p>
    <w:p w14:paraId="1A89E985" w14:textId="77777777" w:rsidR="00A8253C" w:rsidRDefault="00A8253C" w:rsidP="00A8253C">
      <w:pPr>
        <w:pStyle w:val="PolicyBodyText"/>
      </w:pPr>
    </w:p>
    <w:p w14:paraId="37D056C1" w14:textId="77777777" w:rsidR="00A8253C" w:rsidRDefault="00A8253C" w:rsidP="00A8253C">
      <w:pPr>
        <w:pStyle w:val="PolicyBodyText"/>
      </w:pPr>
      <w:r>
        <w:t>END OF POLICY</w:t>
      </w:r>
    </w:p>
    <w:p w14:paraId="4E9CEFDF" w14:textId="77777777" w:rsidR="00A8253C" w:rsidRDefault="00A8253C" w:rsidP="00A8253C">
      <w:pPr>
        <w:pStyle w:val="PolicyLine"/>
      </w:pPr>
    </w:p>
    <w:p w14:paraId="75AB1BF8" w14:textId="77777777" w:rsidR="00A8253C" w:rsidRPr="006B0F00" w:rsidRDefault="00A8253C" w:rsidP="00670582">
      <w:pPr>
        <w:pStyle w:val="PolicyReferencesHeading"/>
        <w:spacing w:after="0"/>
        <w:rPr>
          <w:sz w:val="24"/>
          <w:szCs w:val="24"/>
        </w:rPr>
      </w:pPr>
      <w:r w:rsidRPr="00A8253C">
        <w:t>Legal Reference(s):</w:t>
      </w:r>
    </w:p>
    <w:p w14:paraId="405CF0C1" w14:textId="77777777" w:rsidR="00A8253C" w:rsidRDefault="00A8253C" w:rsidP="00A8253C">
      <w:pPr>
        <w:pStyle w:val="PolicyReferences"/>
        <w:rPr>
          <w:sz w:val="24"/>
          <w:szCs w:val="24"/>
        </w:rPr>
      </w:pPr>
    </w:p>
    <w:p w14:paraId="488CF919" w14:textId="77777777" w:rsidR="00A8253C" w:rsidRDefault="00A8253C" w:rsidP="00A8253C">
      <w:pPr>
        <w:pStyle w:val="PolicyReferences"/>
        <w:sectPr w:rsidR="00A8253C" w:rsidSect="00A8253C">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6" w:name="Laws"/>
    <w:bookmarkStart w:id="7" w:name="ORS"/>
    <w:bookmarkEnd w:id="6"/>
    <w:bookmarkEnd w:id="7"/>
    <w:p w14:paraId="633D1DE1" w14:textId="21834EEE" w:rsidR="00A8253C" w:rsidRDefault="00A94269" w:rsidP="00A8253C">
      <w:pPr>
        <w:pStyle w:val="PolicyReferences"/>
      </w:pPr>
      <w:r>
        <w:rPr>
          <w:rStyle w:val="SYSHYPERTEXT"/>
        </w:rPr>
        <w:fldChar w:fldCharType="begin"/>
      </w:r>
      <w:r>
        <w:rPr>
          <w:rStyle w:val="SYSHYPERTEXT"/>
        </w:rPr>
        <w:instrText xml:space="preserve"> HYPERLINK "http://policy.osba.org/orsredir.asp?ors=ors-174" </w:instrText>
      </w:r>
      <w:r>
        <w:rPr>
          <w:rStyle w:val="SYSHYPERTEXT"/>
        </w:rPr>
        <w:fldChar w:fldCharType="separate"/>
      </w:r>
      <w:r>
        <w:rPr>
          <w:rStyle w:val="Hyperlink"/>
        </w:rPr>
        <w:t>ORS 174</w:t>
      </w:r>
      <w:r>
        <w:rPr>
          <w:rStyle w:val="SYSHYPERTEXT"/>
        </w:rPr>
        <w:fldChar w:fldCharType="end"/>
      </w:r>
      <w:r w:rsidR="00A8253C">
        <w:t>.100</w:t>
      </w:r>
      <w:del w:id="8" w:author="Leslie Fisher" w:date="2021-07-27T15:30:00Z">
        <w:r w:rsidR="00A8253C" w:rsidDel="003701BB">
          <w:delText>(7)</w:delText>
        </w:r>
      </w:del>
    </w:p>
    <w:p w14:paraId="3AB02CDC" w14:textId="0F25639D" w:rsidR="00A8253C" w:rsidRDefault="00547AA3" w:rsidP="00A8253C">
      <w:pPr>
        <w:pStyle w:val="PolicyReferences"/>
      </w:pPr>
      <w:hyperlink r:id="rId14" w:history="1">
        <w:r w:rsidR="00A94269">
          <w:rPr>
            <w:rStyle w:val="Hyperlink"/>
          </w:rPr>
          <w:t>ORS 332</w:t>
        </w:r>
      </w:hyperlink>
      <w:r w:rsidR="00A8253C">
        <w:t>.075</w:t>
      </w:r>
    </w:p>
    <w:p w14:paraId="13B5D1E3" w14:textId="5029688F" w:rsidR="00A8253C" w:rsidRDefault="00547AA3" w:rsidP="00A8253C">
      <w:pPr>
        <w:pStyle w:val="PolicyReferences"/>
      </w:pPr>
      <w:hyperlink r:id="rId15" w:history="1">
        <w:r w:rsidR="00A94269">
          <w:rPr>
            <w:rStyle w:val="Hyperlink"/>
          </w:rPr>
          <w:t>ORS 332</w:t>
        </w:r>
      </w:hyperlink>
      <w:r w:rsidR="00A8253C">
        <w:t>.107</w:t>
      </w:r>
    </w:p>
    <w:p w14:paraId="41419C66" w14:textId="047930BD" w:rsidR="00905394" w:rsidRDefault="00547AA3" w:rsidP="00A8253C">
      <w:pPr>
        <w:pStyle w:val="PolicyReferences"/>
        <w:sectPr w:rsidR="00905394" w:rsidSect="00A8253C">
          <w:footerReference w:type="default" r:id="rId16"/>
          <w:type w:val="continuous"/>
          <w:pgSz w:w="12240" w:h="15838"/>
          <w:pgMar w:top="936" w:right="720" w:bottom="720" w:left="1224" w:header="432" w:footer="720" w:gutter="0"/>
          <w:cols w:num="3" w:space="360" w:equalWidth="0">
            <w:col w:w="3192" w:space="360"/>
            <w:col w:w="3192" w:space="360"/>
            <w:col w:w="3192"/>
          </w:cols>
          <w:noEndnote/>
          <w:docGrid w:linePitch="326"/>
        </w:sectPr>
      </w:pPr>
      <w:hyperlink r:id="rId17" w:history="1">
        <w:r w:rsidR="00A94269">
          <w:rPr>
            <w:rStyle w:val="Hyperlink"/>
          </w:rPr>
          <w:t>ORS 342</w:t>
        </w:r>
      </w:hyperlink>
      <w:r w:rsidR="00A8253C">
        <w:t>.437 -</w:t>
      </w:r>
      <w:r w:rsidR="003701BB">
        <w:t xml:space="preserve"> </w:t>
      </w:r>
      <w:r w:rsidR="00A8253C">
        <w:t>342.449</w:t>
      </w:r>
    </w:p>
    <w:p w14:paraId="51BA2756" w14:textId="72B5D9BC" w:rsidR="00A94269" w:rsidRPr="00E4288E" w:rsidRDefault="00A94269" w:rsidP="00A94269">
      <w:pPr>
        <w:pStyle w:val="PolicyReferences"/>
        <w:rPr>
          <w:highlight w:val="darkGray"/>
        </w:rPr>
      </w:pPr>
      <w:bookmarkStart w:id="9" w:name="LawsEnd"/>
      <w:bookmarkEnd w:id="9"/>
    </w:p>
    <w:p w14:paraId="456EF609" w14:textId="010BBF7A" w:rsidR="005E0FE0" w:rsidRPr="00A94269" w:rsidRDefault="005E0FE0" w:rsidP="00A94269">
      <w:pPr>
        <w:pStyle w:val="PolicyReferences"/>
      </w:pPr>
      <w:r w:rsidRPr="00E4288E">
        <w:rPr>
          <w:highlight w:val="darkGray"/>
        </w:rPr>
        <w:t>House Bill 3041 (2021).</w:t>
      </w:r>
    </w:p>
    <w:sectPr w:rsidR="005E0FE0" w:rsidRPr="00A94269" w:rsidSect="00A8253C">
      <w:footerReference w:type="default" r:id="rId18"/>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7622C" w14:textId="77777777" w:rsidR="00A8253C" w:rsidRDefault="00A8253C" w:rsidP="00FC3907">
      <w:r>
        <w:separator/>
      </w:r>
    </w:p>
  </w:endnote>
  <w:endnote w:type="continuationSeparator" w:id="0">
    <w:p w14:paraId="08E9830B" w14:textId="77777777" w:rsidR="00A8253C" w:rsidRDefault="00A8253C"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E7FFC" w14:textId="77777777" w:rsidR="00A94269" w:rsidRDefault="00A942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A8253C" w14:paraId="50913761" w14:textId="77777777" w:rsidTr="004616AD">
      <w:tc>
        <w:tcPr>
          <w:tcW w:w="2340" w:type="dxa"/>
        </w:tcPr>
        <w:p w14:paraId="374266F9" w14:textId="4EC40514" w:rsidR="00A8253C" w:rsidRDefault="00A8253C" w:rsidP="004616AD">
          <w:pPr>
            <w:pStyle w:val="Footer"/>
            <w:rPr>
              <w:noProof/>
              <w:sz w:val="20"/>
            </w:rPr>
          </w:pPr>
          <w:del w:id="4" w:author="Leslie Fisher" w:date="2021-07-27T15:31:00Z">
            <w:r w:rsidDel="003146BB">
              <w:rPr>
                <w:noProof/>
                <w:sz w:val="20"/>
              </w:rPr>
              <w:delText>6/30/16</w:delText>
            </w:r>
          </w:del>
          <w:r w:rsidR="00A94269" w:rsidRPr="00A94269">
            <w:rPr>
              <w:noProof/>
              <w:sz w:val="20"/>
              <w:highlight w:val="darkGray"/>
            </w:rPr>
            <w:t>10/05/21</w:t>
          </w:r>
          <w:r>
            <w:rPr>
              <w:noProof/>
              <w:sz w:val="20"/>
            </w:rPr>
            <w:t>│</w:t>
          </w:r>
          <w:del w:id="5" w:author="Leslie Fisher" w:date="2021-07-27T15:31:00Z">
            <w:r w:rsidDel="003146BB">
              <w:rPr>
                <w:noProof/>
                <w:sz w:val="20"/>
              </w:rPr>
              <w:delText>PH</w:delText>
            </w:r>
          </w:del>
          <w:r w:rsidR="003146BB" w:rsidRPr="00A94269">
            <w:rPr>
              <w:noProof/>
              <w:sz w:val="20"/>
              <w:highlight w:val="darkGray"/>
            </w:rPr>
            <w:t>LF</w:t>
          </w:r>
        </w:p>
      </w:tc>
      <w:tc>
        <w:tcPr>
          <w:tcW w:w="7956" w:type="dxa"/>
        </w:tcPr>
        <w:p w14:paraId="0975232C" w14:textId="77777777" w:rsidR="00A8253C" w:rsidRDefault="00A8253C" w:rsidP="004616AD">
          <w:pPr>
            <w:pStyle w:val="Footer"/>
            <w:jc w:val="right"/>
          </w:pPr>
          <w:r>
            <w:t>Educational Equity – JBB</w:t>
          </w:r>
        </w:p>
        <w:p w14:paraId="6DD2F1C0" w14:textId="77777777" w:rsidR="00A8253C" w:rsidRDefault="00A8253C"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E065BFA" w14:textId="77777777" w:rsidR="00A8253C" w:rsidRPr="00782930" w:rsidRDefault="00A8253C"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9CC49" w14:textId="77777777" w:rsidR="00A94269" w:rsidRDefault="00A9426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A8253C" w14:paraId="77D3A6DC" w14:textId="77777777" w:rsidTr="004616AD">
      <w:tc>
        <w:tcPr>
          <w:tcW w:w="2340" w:type="dxa"/>
        </w:tcPr>
        <w:p w14:paraId="5ACFF664" w14:textId="77777777" w:rsidR="00A8253C" w:rsidRDefault="00A8253C" w:rsidP="004616AD">
          <w:pPr>
            <w:pStyle w:val="Footer"/>
            <w:rPr>
              <w:noProof/>
              <w:sz w:val="20"/>
            </w:rPr>
          </w:pPr>
          <w:r>
            <w:rPr>
              <w:noProof/>
              <w:sz w:val="20"/>
            </w:rPr>
            <w:t>6/30/16│PH</w:t>
          </w:r>
        </w:p>
      </w:tc>
      <w:tc>
        <w:tcPr>
          <w:tcW w:w="7956" w:type="dxa"/>
        </w:tcPr>
        <w:p w14:paraId="772C4D6A" w14:textId="77777777" w:rsidR="00A8253C" w:rsidRDefault="00A8253C" w:rsidP="004616AD">
          <w:pPr>
            <w:pStyle w:val="Footer"/>
            <w:jc w:val="right"/>
          </w:pPr>
          <w:r>
            <w:t>Educational Equity – JBB</w:t>
          </w:r>
        </w:p>
        <w:p w14:paraId="79A2DBB5" w14:textId="77777777" w:rsidR="00A8253C" w:rsidRDefault="00A8253C"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DB54CB9" w14:textId="77777777" w:rsidR="00A8253C" w:rsidRPr="00782930" w:rsidRDefault="00A8253C"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A8253C" w14:paraId="3DC20B8C" w14:textId="77777777" w:rsidTr="004616AD">
      <w:tc>
        <w:tcPr>
          <w:tcW w:w="2340" w:type="dxa"/>
        </w:tcPr>
        <w:p w14:paraId="4805823F" w14:textId="77777777" w:rsidR="00A8253C" w:rsidRDefault="00A8253C" w:rsidP="004616AD">
          <w:pPr>
            <w:pStyle w:val="Footer"/>
            <w:rPr>
              <w:noProof/>
              <w:sz w:val="20"/>
            </w:rPr>
          </w:pPr>
          <w:r>
            <w:rPr>
              <w:noProof/>
              <w:sz w:val="20"/>
            </w:rPr>
            <w:t>6/30/16│PH</w:t>
          </w:r>
        </w:p>
      </w:tc>
      <w:tc>
        <w:tcPr>
          <w:tcW w:w="7956" w:type="dxa"/>
        </w:tcPr>
        <w:p w14:paraId="1662961D" w14:textId="77777777" w:rsidR="00A8253C" w:rsidRDefault="00A8253C" w:rsidP="004616AD">
          <w:pPr>
            <w:pStyle w:val="Footer"/>
            <w:jc w:val="right"/>
          </w:pPr>
          <w:r>
            <w:t>Educational Equity – JBB</w:t>
          </w:r>
        </w:p>
        <w:p w14:paraId="5F25873D" w14:textId="77777777" w:rsidR="00A8253C" w:rsidRDefault="00A8253C"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841D246" w14:textId="77777777" w:rsidR="00A8253C" w:rsidRPr="00782930" w:rsidRDefault="00A8253C"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8D390" w14:textId="77777777" w:rsidR="00A8253C" w:rsidRDefault="00A8253C" w:rsidP="00FC3907">
      <w:r>
        <w:separator/>
      </w:r>
    </w:p>
  </w:footnote>
  <w:footnote w:type="continuationSeparator" w:id="0">
    <w:p w14:paraId="0B490664" w14:textId="77777777" w:rsidR="00A8253C" w:rsidRDefault="00A8253C" w:rsidP="00FC3907">
      <w:r>
        <w:continuationSeparator/>
      </w:r>
    </w:p>
  </w:footnote>
  <w:footnote w:id="1">
    <w:p w14:paraId="1F8EC860" w14:textId="77777777" w:rsidR="00041265" w:rsidRDefault="00041265" w:rsidP="00041265">
      <w:pPr>
        <w:pStyle w:val="FootnoteText"/>
      </w:pPr>
      <w:r>
        <w:rPr>
          <w:rStyle w:val="FootnoteReference"/>
        </w:rPr>
        <w:footnoteRef/>
      </w:r>
      <w:r>
        <w:t xml:space="preserve"> These are data categories that the Oregon Department of Education collects. Districts may choose to add to this list from data the district collects.</w:t>
      </w:r>
    </w:p>
  </w:footnote>
  <w:footnote w:id="2">
    <w:p w14:paraId="0EF5DB7E" w14:textId="2373D0E3" w:rsidR="004A3FE2" w:rsidDel="006219BD" w:rsidRDefault="004A3FE2">
      <w:pPr>
        <w:pStyle w:val="FootnoteText"/>
        <w:rPr>
          <w:del w:id="1" w:author="Rick Stucky" w:date="2021-07-08T11:02:00Z"/>
        </w:rPr>
      </w:pPr>
      <w:del w:id="2" w:author="Rick Stucky" w:date="2021-07-08T11:02:00Z">
        <w:r w:rsidDel="006219BD">
          <w:rPr>
            <w:rStyle w:val="FootnoteReference"/>
          </w:rPr>
          <w:footnoteRef/>
        </w:r>
        <w:r w:rsidDel="006219BD">
          <w:delText xml:space="preserve"> “Sexual orientation” is defined by Oregon Revised Statute (ORS) 174.100(7) to mean an individual’s actual or perceived heterosexuality, homosexuality, bisexuality or gender identify, regardless of whether the individual’s gender identity, appearance, expression or behavior differs from that traditionally associated with the individual’s sex at birth.</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36739" w14:textId="77777777" w:rsidR="00A94269" w:rsidRPr="00547AA3" w:rsidRDefault="00A942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EAFB3" w14:textId="77777777" w:rsidR="00A94269" w:rsidRDefault="00A942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F3E76" w14:textId="77777777" w:rsidR="00A94269" w:rsidRDefault="00A942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ick Stucky">
    <w15:presenceInfo w15:providerId="AD" w15:userId="S::rsstucky@osba.org::ef8e813f-e3e1-43ec-844f-c8215350c889"/>
  </w15:person>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revisionView w:comments="0" w:formatting="0"/>
  <w:doNotTrackFormatting/>
  <w:defaultTabStop w:val="720"/>
  <w:clickAndTypeStyle w:val="PolicyTitleBox"/>
  <w:characterSpacingControl w:val="doNotCompress"/>
  <w:hdrShapeDefaults>
    <o:shapedefaults v:ext="edit" spidmax="307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41265"/>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038E"/>
    <w:rsid w:val="001479B1"/>
    <w:rsid w:val="00151EC6"/>
    <w:rsid w:val="00156EA7"/>
    <w:rsid w:val="00165C06"/>
    <w:rsid w:val="0018025F"/>
    <w:rsid w:val="001C1D43"/>
    <w:rsid w:val="001C3978"/>
    <w:rsid w:val="001C5C15"/>
    <w:rsid w:val="001E1260"/>
    <w:rsid w:val="001E471B"/>
    <w:rsid w:val="001E7AE7"/>
    <w:rsid w:val="001F4D2D"/>
    <w:rsid w:val="0021369D"/>
    <w:rsid w:val="00217190"/>
    <w:rsid w:val="00217D83"/>
    <w:rsid w:val="00224022"/>
    <w:rsid w:val="00246025"/>
    <w:rsid w:val="0028031C"/>
    <w:rsid w:val="00280B93"/>
    <w:rsid w:val="002821D2"/>
    <w:rsid w:val="00284A5E"/>
    <w:rsid w:val="00286D2D"/>
    <w:rsid w:val="002A7657"/>
    <w:rsid w:val="002C77C7"/>
    <w:rsid w:val="002F4D33"/>
    <w:rsid w:val="002F7C67"/>
    <w:rsid w:val="00305489"/>
    <w:rsid w:val="00306B03"/>
    <w:rsid w:val="00311B2D"/>
    <w:rsid w:val="003146BB"/>
    <w:rsid w:val="003233D7"/>
    <w:rsid w:val="003234E0"/>
    <w:rsid w:val="00346329"/>
    <w:rsid w:val="00354BAF"/>
    <w:rsid w:val="00355C5E"/>
    <w:rsid w:val="00363573"/>
    <w:rsid w:val="00363AE7"/>
    <w:rsid w:val="00363DD3"/>
    <w:rsid w:val="00367B06"/>
    <w:rsid w:val="003701BB"/>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A3FE2"/>
    <w:rsid w:val="004C1EE4"/>
    <w:rsid w:val="004C2F7D"/>
    <w:rsid w:val="004E3582"/>
    <w:rsid w:val="004F53EB"/>
    <w:rsid w:val="005130E3"/>
    <w:rsid w:val="0051750D"/>
    <w:rsid w:val="00524F11"/>
    <w:rsid w:val="005342BD"/>
    <w:rsid w:val="00536354"/>
    <w:rsid w:val="00543474"/>
    <w:rsid w:val="00547AA3"/>
    <w:rsid w:val="00557E6B"/>
    <w:rsid w:val="00572923"/>
    <w:rsid w:val="00573A5C"/>
    <w:rsid w:val="00586C66"/>
    <w:rsid w:val="005A0A48"/>
    <w:rsid w:val="005A4EEB"/>
    <w:rsid w:val="005A6BFA"/>
    <w:rsid w:val="005C1564"/>
    <w:rsid w:val="005E06B3"/>
    <w:rsid w:val="005E0FE0"/>
    <w:rsid w:val="005E3F0A"/>
    <w:rsid w:val="005F3316"/>
    <w:rsid w:val="005F4DD3"/>
    <w:rsid w:val="0060463A"/>
    <w:rsid w:val="0061672C"/>
    <w:rsid w:val="00620A00"/>
    <w:rsid w:val="006219BD"/>
    <w:rsid w:val="00621D2B"/>
    <w:rsid w:val="0062603D"/>
    <w:rsid w:val="00627077"/>
    <w:rsid w:val="00634B0E"/>
    <w:rsid w:val="00645006"/>
    <w:rsid w:val="00660AC5"/>
    <w:rsid w:val="00662E7C"/>
    <w:rsid w:val="00670582"/>
    <w:rsid w:val="006705C2"/>
    <w:rsid w:val="006728D3"/>
    <w:rsid w:val="00684386"/>
    <w:rsid w:val="00685AAF"/>
    <w:rsid w:val="00685C16"/>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478D4"/>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5394"/>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B1C52"/>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8253C"/>
    <w:rsid w:val="00A92BEB"/>
    <w:rsid w:val="00A94269"/>
    <w:rsid w:val="00A967F8"/>
    <w:rsid w:val="00AC3EDD"/>
    <w:rsid w:val="00AC5141"/>
    <w:rsid w:val="00AC6972"/>
    <w:rsid w:val="00AE1154"/>
    <w:rsid w:val="00AF3E4D"/>
    <w:rsid w:val="00AF6F27"/>
    <w:rsid w:val="00B01ACE"/>
    <w:rsid w:val="00B04433"/>
    <w:rsid w:val="00B12B75"/>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B25C8"/>
    <w:rsid w:val="00BC6D2F"/>
    <w:rsid w:val="00BD65DF"/>
    <w:rsid w:val="00BE44C8"/>
    <w:rsid w:val="00BE450C"/>
    <w:rsid w:val="00BE5E89"/>
    <w:rsid w:val="00BE5ECB"/>
    <w:rsid w:val="00BF1386"/>
    <w:rsid w:val="00C04F63"/>
    <w:rsid w:val="00C21664"/>
    <w:rsid w:val="00C25368"/>
    <w:rsid w:val="00C33AB4"/>
    <w:rsid w:val="00C42489"/>
    <w:rsid w:val="00C430FD"/>
    <w:rsid w:val="00C71516"/>
    <w:rsid w:val="00C82AB8"/>
    <w:rsid w:val="00CB18D4"/>
    <w:rsid w:val="00CB517B"/>
    <w:rsid w:val="00CB5D00"/>
    <w:rsid w:val="00CC11B1"/>
    <w:rsid w:val="00CC2690"/>
    <w:rsid w:val="00CC7D46"/>
    <w:rsid w:val="00CE3549"/>
    <w:rsid w:val="00CE482D"/>
    <w:rsid w:val="00CF6EF5"/>
    <w:rsid w:val="00D01C38"/>
    <w:rsid w:val="00D33F63"/>
    <w:rsid w:val="00D37878"/>
    <w:rsid w:val="00D4493C"/>
    <w:rsid w:val="00D55ABF"/>
    <w:rsid w:val="00D65180"/>
    <w:rsid w:val="00D7233F"/>
    <w:rsid w:val="00D7490B"/>
    <w:rsid w:val="00D82C4F"/>
    <w:rsid w:val="00D85D37"/>
    <w:rsid w:val="00D87B51"/>
    <w:rsid w:val="00DE0C18"/>
    <w:rsid w:val="00DE68B1"/>
    <w:rsid w:val="00DF0AE6"/>
    <w:rsid w:val="00DF464B"/>
    <w:rsid w:val="00E009DD"/>
    <w:rsid w:val="00E07338"/>
    <w:rsid w:val="00E34F37"/>
    <w:rsid w:val="00E4288E"/>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704CA"/>
    <w:rsid w:val="00F715B9"/>
    <w:rsid w:val="00F774CC"/>
    <w:rsid w:val="00F80E45"/>
    <w:rsid w:val="00F91523"/>
    <w:rsid w:val="00F94BBC"/>
    <w:rsid w:val="00FA481C"/>
    <w:rsid w:val="00FB3011"/>
    <w:rsid w:val="00FB52F8"/>
    <w:rsid w:val="00FC3907"/>
    <w:rsid w:val="00FD60A2"/>
    <w:rsid w:val="00FF35BF"/>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A8EF17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unhideWhenUsed/>
    <w:rsid w:val="00B637AA"/>
    <w:pPr>
      <w:spacing w:after="200"/>
    </w:pPr>
    <w:rPr>
      <w:sz w:val="20"/>
      <w:szCs w:val="20"/>
    </w:rPr>
  </w:style>
  <w:style w:type="character" w:customStyle="1" w:styleId="FootnoteTextChar">
    <w:name w:val="Footnote Text Char"/>
    <w:basedOn w:val="DefaultParagraphFont"/>
    <w:link w:val="FootnoteText"/>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A8253C"/>
    <w:rPr>
      <w:color w:val="0000FF"/>
      <w:u w:val="single"/>
    </w:rPr>
  </w:style>
  <w:style w:type="character" w:styleId="Hyperlink">
    <w:name w:val="Hyperlink"/>
    <w:basedOn w:val="DefaultParagraphFont"/>
    <w:uiPriority w:val="99"/>
    <w:unhideWhenUsed/>
    <w:rsid w:val="00A94269"/>
    <w:rPr>
      <w:color w:val="0563C1" w:themeColor="hyperlink"/>
      <w:u w:val="single"/>
    </w:rPr>
  </w:style>
  <w:style w:type="character" w:styleId="UnresolvedMention">
    <w:name w:val="Unresolved Mention"/>
    <w:basedOn w:val="DefaultParagraphFont"/>
    <w:uiPriority w:val="99"/>
    <w:semiHidden/>
    <w:unhideWhenUsed/>
    <w:rsid w:val="00A94269"/>
    <w:rPr>
      <w:color w:val="605E5C"/>
      <w:shd w:val="clear" w:color="auto" w:fill="E1DFDD"/>
    </w:rPr>
  </w:style>
  <w:style w:type="character" w:styleId="FollowedHyperlink">
    <w:name w:val="FollowedHyperlink"/>
    <w:basedOn w:val="DefaultParagraphFont"/>
    <w:uiPriority w:val="99"/>
    <w:semiHidden/>
    <w:unhideWhenUsed/>
    <w:rsid w:val="00586C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42" TargetMode="External"/><Relationship Id="rId2" Type="http://schemas.openxmlformats.org/officeDocument/2006/relationships/numbering" Target="numbering.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2"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C30EA-A94B-418F-AA9F-A594852B5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Pages>
  <Words>704</Words>
  <Characters>4017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JBB - Educational Equity</vt:lpstr>
    </vt:vector>
  </TitlesOfParts>
  <Company>OSBA</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JBB - Educational Equity</dc:title>
  <dc:subject>OSBA Board Policy</dc:subject>
  <dc:creator>Oregon School Boards Association</dc:creator>
  <cp:keywords/>
  <dc:description/>
  <cp:lastModifiedBy>Colleen Allen</cp:lastModifiedBy>
  <cp:revision>28</cp:revision>
  <dcterms:created xsi:type="dcterms:W3CDTF">2018-03-09T20:43:00Z</dcterms:created>
  <dcterms:modified xsi:type="dcterms:W3CDTF">2021-10-05T15:12:00Z</dcterms:modified>
</cp:coreProperties>
</file>